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01" w:rsidRPr="006D3969" w:rsidRDefault="00EE2B01" w:rsidP="00EE2B01">
      <w:pPr>
        <w:pStyle w:val="Heading1"/>
        <w:rPr>
          <w:rFonts w:asciiTheme="majorHAnsi" w:hAnsiTheme="majorHAnsi"/>
          <w:u w:val="single"/>
        </w:rPr>
      </w:pPr>
      <w:bookmarkStart w:id="0" w:name="_Toc70407737"/>
      <w:bookmarkStart w:id="1" w:name="_Toc242520966"/>
      <w:r w:rsidRPr="006D3969">
        <w:rPr>
          <w:rFonts w:asciiTheme="majorHAnsi" w:hAnsiTheme="majorHAnsi"/>
          <w:u w:val="single"/>
        </w:rPr>
        <w:t>Terms of Reference</w:t>
      </w:r>
      <w:bookmarkEnd w:id="0"/>
    </w:p>
    <w:bookmarkEnd w:id="1"/>
    <w:p w:rsidR="002148AB" w:rsidRPr="006D3969" w:rsidRDefault="00615A7F" w:rsidP="002148AB">
      <w:pPr>
        <w:jc w:val="center"/>
        <w:rPr>
          <w:rFonts w:asciiTheme="majorHAnsi" w:hAnsiTheme="majorHAnsi"/>
          <w:b/>
          <w:bCs/>
        </w:rPr>
      </w:pPr>
      <w:r w:rsidRPr="006D3969">
        <w:rPr>
          <w:rFonts w:asciiTheme="majorHAnsi" w:hAnsiTheme="majorHAnsi"/>
          <w:b/>
          <w:bCs/>
        </w:rPr>
        <w:t xml:space="preserve">PROVIDING CONSULTANCY SERVICES FOR </w:t>
      </w:r>
      <w:r w:rsidR="002148AB" w:rsidRPr="006D3969">
        <w:rPr>
          <w:rFonts w:asciiTheme="majorHAnsi" w:hAnsiTheme="majorHAnsi"/>
          <w:b/>
          <w:bCs/>
        </w:rPr>
        <w:t xml:space="preserve">FINANCIAL </w:t>
      </w:r>
      <w:r w:rsidR="007542E1" w:rsidRPr="006D3969">
        <w:rPr>
          <w:rFonts w:asciiTheme="majorHAnsi" w:hAnsiTheme="majorHAnsi"/>
          <w:b/>
          <w:bCs/>
        </w:rPr>
        <w:t xml:space="preserve">MANAGEMENT </w:t>
      </w:r>
      <w:r w:rsidRPr="006D3969">
        <w:rPr>
          <w:rFonts w:asciiTheme="majorHAnsi" w:hAnsiTheme="majorHAnsi"/>
          <w:b/>
          <w:bCs/>
        </w:rPr>
        <w:t xml:space="preserve">SUPPORT </w:t>
      </w:r>
      <w:r w:rsidR="002148AB" w:rsidRPr="006D3969">
        <w:rPr>
          <w:rFonts w:asciiTheme="majorHAnsi" w:hAnsiTheme="majorHAnsi"/>
          <w:b/>
          <w:bCs/>
        </w:rPr>
        <w:t>CONSULTANT</w:t>
      </w:r>
    </w:p>
    <w:p w:rsidR="00EE2B01" w:rsidRPr="006D3969" w:rsidRDefault="00EE2B01" w:rsidP="002148AB">
      <w:pPr>
        <w:jc w:val="center"/>
        <w:rPr>
          <w:rFonts w:asciiTheme="majorHAnsi" w:hAnsiTheme="majorHAnsi"/>
        </w:rPr>
      </w:pPr>
      <w:r w:rsidRPr="006D3969">
        <w:rPr>
          <w:rFonts w:asciiTheme="majorHAnsi" w:hAnsiTheme="majorHAnsi"/>
          <w:b/>
          <w:bCs/>
        </w:rPr>
        <w:t>Bihar Kosi Basin Development Project (BKBDP)</w:t>
      </w:r>
    </w:p>
    <w:p w:rsidR="00AF4A60" w:rsidRPr="006D3969" w:rsidRDefault="00AF4A60" w:rsidP="00AF4A60">
      <w:pPr>
        <w:pStyle w:val="ListParagraph"/>
        <w:ind w:left="360"/>
        <w:rPr>
          <w:rFonts w:asciiTheme="majorHAnsi" w:hAnsiTheme="majorHAnsi"/>
          <w:b/>
          <w:bCs/>
        </w:rPr>
      </w:pPr>
      <w:bookmarkStart w:id="2" w:name="_Toc242524050"/>
    </w:p>
    <w:p w:rsidR="00EE2B01" w:rsidRPr="006D3969" w:rsidRDefault="005E78EE" w:rsidP="00AF4A60">
      <w:pPr>
        <w:pStyle w:val="ListParagraph"/>
        <w:numPr>
          <w:ilvl w:val="0"/>
          <w:numId w:val="15"/>
        </w:numPr>
        <w:tabs>
          <w:tab w:val="left" w:pos="360"/>
        </w:tabs>
        <w:ind w:left="0" w:firstLine="0"/>
        <w:rPr>
          <w:rFonts w:asciiTheme="majorHAnsi" w:hAnsiTheme="majorHAnsi"/>
          <w:b/>
          <w:bCs/>
        </w:rPr>
      </w:pPr>
      <w:r w:rsidRPr="006D3969">
        <w:rPr>
          <w:rFonts w:asciiTheme="majorHAnsi" w:hAnsiTheme="majorHAnsi"/>
          <w:b/>
          <w:bCs/>
        </w:rPr>
        <w:t>PROJECT  OVERVIEW</w:t>
      </w:r>
    </w:p>
    <w:p w:rsidR="00EE2B01" w:rsidRPr="006D3969" w:rsidRDefault="00EE2B01" w:rsidP="00EE2B01">
      <w:pPr>
        <w:rPr>
          <w:rFonts w:asciiTheme="majorHAnsi" w:hAnsiTheme="majorHAnsi"/>
          <w:sz w:val="26"/>
          <w:szCs w:val="26"/>
        </w:rPr>
      </w:pPr>
      <w:r w:rsidRPr="006D3969">
        <w:rPr>
          <w:rFonts w:asciiTheme="majorHAnsi" w:hAnsiTheme="majorHAnsi"/>
        </w:rPr>
        <w:tab/>
      </w:r>
    </w:p>
    <w:p w:rsidR="00EE2B01" w:rsidRPr="006D3969" w:rsidRDefault="00EE2B01" w:rsidP="0085526C">
      <w:pPr>
        <w:pStyle w:val="ListParagraph"/>
        <w:numPr>
          <w:ilvl w:val="1"/>
          <w:numId w:val="16"/>
        </w:numPr>
        <w:ind w:left="720"/>
        <w:rPr>
          <w:rFonts w:asciiTheme="majorHAnsi" w:hAnsiTheme="majorHAnsi"/>
          <w:b/>
          <w:bCs/>
          <w:u w:val="single"/>
        </w:rPr>
      </w:pPr>
      <w:r w:rsidRPr="006D3969">
        <w:rPr>
          <w:rFonts w:asciiTheme="majorHAnsi" w:hAnsiTheme="majorHAnsi"/>
          <w:b/>
          <w:bCs/>
          <w:u w:val="single"/>
        </w:rPr>
        <w:t>Project Background</w:t>
      </w:r>
      <w:bookmarkEnd w:id="2"/>
    </w:p>
    <w:p w:rsidR="00EE2B01" w:rsidRPr="006D3969" w:rsidRDefault="00EE2B01" w:rsidP="00EE2B01">
      <w:pPr>
        <w:tabs>
          <w:tab w:val="left" w:pos="720"/>
        </w:tabs>
        <w:spacing w:before="120"/>
        <w:ind w:left="720" w:hanging="360"/>
        <w:jc w:val="both"/>
        <w:rPr>
          <w:rFonts w:asciiTheme="majorHAnsi" w:hAnsiTheme="majorHAnsi"/>
        </w:rPr>
      </w:pPr>
      <w:r w:rsidRPr="006D3969">
        <w:rPr>
          <w:rFonts w:asciiTheme="majorHAnsi" w:hAnsiTheme="majorHAnsi"/>
        </w:rPr>
        <w:tab/>
        <w:t>A breach in Kosi embankment in August 2008 led to inundation of a large area by flood waters. This brought a lot of hardship to the people residing in the region as they lost their place of residence &amp; source of livelihood both.</w:t>
      </w:r>
    </w:p>
    <w:p w:rsidR="00EE2B01" w:rsidRPr="006D3969" w:rsidRDefault="00EE2B01" w:rsidP="00EE2B01">
      <w:pPr>
        <w:tabs>
          <w:tab w:val="left" w:pos="720"/>
        </w:tabs>
        <w:spacing w:before="120"/>
        <w:ind w:left="720" w:hanging="360"/>
        <w:jc w:val="both"/>
        <w:rPr>
          <w:rFonts w:asciiTheme="majorHAnsi" w:hAnsiTheme="majorHAnsi"/>
        </w:rPr>
      </w:pPr>
      <w:r w:rsidRPr="006D3969">
        <w:rPr>
          <w:rFonts w:asciiTheme="majorHAnsi" w:hAnsiTheme="majorHAnsi"/>
        </w:rPr>
        <w:tab/>
        <w:t>As a reconstruction effort to the deva</w:t>
      </w:r>
      <w:r w:rsidR="002148AB" w:rsidRPr="006D3969">
        <w:rPr>
          <w:rFonts w:asciiTheme="majorHAnsi" w:hAnsiTheme="majorHAnsi"/>
        </w:rPr>
        <w:t>stating flood the Go</w:t>
      </w:r>
      <w:r w:rsidRPr="006D3969">
        <w:rPr>
          <w:rFonts w:asciiTheme="majorHAnsi" w:hAnsiTheme="majorHAnsi"/>
        </w:rPr>
        <w:t>B has evolved the Kosi Flood Rehabilitat</w:t>
      </w:r>
      <w:r w:rsidR="004F418A">
        <w:rPr>
          <w:rFonts w:asciiTheme="majorHAnsi" w:hAnsiTheme="majorHAnsi"/>
        </w:rPr>
        <w:t>ion and Reconstruction progra</w:t>
      </w:r>
      <w:r w:rsidR="004F418A" w:rsidRPr="006D3969">
        <w:rPr>
          <w:rFonts w:asciiTheme="majorHAnsi" w:hAnsiTheme="majorHAnsi"/>
        </w:rPr>
        <w:t>m</w:t>
      </w:r>
      <w:r w:rsidRPr="006D3969">
        <w:rPr>
          <w:rFonts w:asciiTheme="majorHAnsi" w:hAnsiTheme="majorHAnsi"/>
        </w:rPr>
        <w:t xml:space="preserve"> to be implemented in phased manner.</w:t>
      </w:r>
    </w:p>
    <w:p w:rsidR="00EE2B01" w:rsidRPr="006D3969" w:rsidRDefault="00EE2B01" w:rsidP="00EE2B01">
      <w:pPr>
        <w:tabs>
          <w:tab w:val="left" w:pos="720"/>
        </w:tabs>
        <w:spacing w:before="120"/>
        <w:ind w:left="720" w:hanging="360"/>
        <w:jc w:val="both"/>
        <w:rPr>
          <w:rFonts w:asciiTheme="majorHAnsi" w:hAnsiTheme="majorHAnsi"/>
        </w:rPr>
      </w:pPr>
      <w:r w:rsidRPr="006D3969">
        <w:rPr>
          <w:rFonts w:asciiTheme="majorHAnsi" w:hAnsiTheme="majorHAnsi"/>
        </w:rPr>
        <w:tab/>
        <w:t xml:space="preserve">The first phase of the project, namely “Bihar Kosi Flood Recovery Project” (BKFRP) has been processed as an emergency operation to provide focused support to Bihar’s re-construction efforts, as a short term measure, for which a credit of US $ </w:t>
      </w:r>
      <w:r w:rsidR="00D645F4" w:rsidRPr="006D3969">
        <w:rPr>
          <w:rFonts w:asciiTheme="majorHAnsi" w:hAnsiTheme="majorHAnsi"/>
        </w:rPr>
        <w:t>170</w:t>
      </w:r>
      <w:r w:rsidRPr="006D3969">
        <w:rPr>
          <w:rFonts w:asciiTheme="majorHAnsi" w:hAnsiTheme="majorHAnsi"/>
        </w:rPr>
        <w:t xml:space="preserve"> Million has been received from the World Bank (IDA). Though considerable progress has been achieved in reconstruction activities in the fields of bridges, roads, embankment, &amp; </w:t>
      </w:r>
      <w:r w:rsidR="00AC0064" w:rsidRPr="006D3969">
        <w:rPr>
          <w:rFonts w:asciiTheme="majorHAnsi" w:hAnsiTheme="majorHAnsi"/>
        </w:rPr>
        <w:t>houses under</w:t>
      </w:r>
      <w:r w:rsidR="00B767A1" w:rsidRPr="006D3969">
        <w:rPr>
          <w:rFonts w:asciiTheme="majorHAnsi" w:hAnsiTheme="majorHAnsi"/>
        </w:rPr>
        <w:t xml:space="preserve"> BKFRP</w:t>
      </w:r>
      <w:r w:rsidR="00AC0064" w:rsidRPr="006D3969">
        <w:rPr>
          <w:rFonts w:asciiTheme="majorHAnsi" w:hAnsiTheme="majorHAnsi"/>
        </w:rPr>
        <w:t>,</w:t>
      </w:r>
      <w:r w:rsidR="00B767A1" w:rsidRPr="006D3969">
        <w:rPr>
          <w:rFonts w:asciiTheme="majorHAnsi" w:hAnsiTheme="majorHAnsi"/>
        </w:rPr>
        <w:t xml:space="preserve"> </w:t>
      </w:r>
      <w:r w:rsidRPr="006D3969">
        <w:rPr>
          <w:rFonts w:asciiTheme="majorHAnsi" w:hAnsiTheme="majorHAnsi"/>
        </w:rPr>
        <w:t>the reconstruction and recovery needs are still enormous.</w:t>
      </w:r>
      <w:r w:rsidRPr="006D3969">
        <w:rPr>
          <w:rFonts w:asciiTheme="majorHAnsi" w:hAnsiTheme="majorHAnsi"/>
        </w:rPr>
        <w:tab/>
      </w:r>
    </w:p>
    <w:p w:rsidR="005E1AA3" w:rsidRPr="006D3969" w:rsidRDefault="005E1AA3" w:rsidP="00811489">
      <w:pPr>
        <w:tabs>
          <w:tab w:val="left" w:pos="720"/>
        </w:tabs>
        <w:spacing w:before="120"/>
        <w:ind w:left="720"/>
        <w:jc w:val="both"/>
        <w:rPr>
          <w:rFonts w:asciiTheme="majorHAnsi" w:hAnsiTheme="majorHAnsi"/>
          <w:sz w:val="10"/>
          <w:szCs w:val="10"/>
        </w:rPr>
      </w:pPr>
    </w:p>
    <w:p w:rsidR="005E1AA3" w:rsidRPr="006D3969" w:rsidRDefault="00811489" w:rsidP="005E1AA3">
      <w:pPr>
        <w:pStyle w:val="ListParagraph"/>
        <w:contextualSpacing/>
        <w:jc w:val="both"/>
        <w:rPr>
          <w:rFonts w:asciiTheme="majorHAnsi" w:hAnsiTheme="majorHAnsi"/>
        </w:rPr>
      </w:pPr>
      <w:r w:rsidRPr="006D3969">
        <w:rPr>
          <w:rFonts w:asciiTheme="majorHAnsi" w:hAnsiTheme="majorHAnsi"/>
        </w:rPr>
        <w:t xml:space="preserve">The second phase of the project, namely “Bihar Kosi Basin Development Project (BKBDP)” </w:t>
      </w:r>
      <w:r w:rsidR="00E25268" w:rsidRPr="006D3969">
        <w:rPr>
          <w:rFonts w:asciiTheme="majorHAnsi" w:hAnsiTheme="majorHAnsi"/>
        </w:rPr>
        <w:t xml:space="preserve">is being </w:t>
      </w:r>
      <w:r w:rsidRPr="006D3969">
        <w:rPr>
          <w:rFonts w:asciiTheme="majorHAnsi" w:hAnsiTheme="majorHAnsi"/>
        </w:rPr>
        <w:t>processed</w:t>
      </w:r>
      <w:r w:rsidR="005E1AA3" w:rsidRPr="006D3969">
        <w:rPr>
          <w:rFonts w:asciiTheme="majorHAnsi" w:hAnsiTheme="majorHAnsi"/>
        </w:rPr>
        <w:t xml:space="preserve"> under a multi-sectoral framework, with investments aimed at reducing the volatility of agricultural outputs and increasing overall economic productivity in the Kosi River Basin. To achieve the State’s overall development objectives, the project will enhance the benefits gained from reduced flood risk by financing a series of complementary investments to unlock the agricultural potential of the area. Investments in </w:t>
      </w:r>
      <w:r w:rsidR="00AC0064" w:rsidRPr="006D3969">
        <w:rPr>
          <w:rFonts w:asciiTheme="majorHAnsi" w:hAnsiTheme="majorHAnsi"/>
        </w:rPr>
        <w:t xml:space="preserve">installation of shallow tube wells under the component “Enhancing Agricultural Productivity and Competitiveness” </w:t>
      </w:r>
      <w:r w:rsidR="005E1AA3" w:rsidRPr="006D3969">
        <w:rPr>
          <w:rFonts w:asciiTheme="majorHAnsi" w:hAnsiTheme="majorHAnsi"/>
        </w:rPr>
        <w:t xml:space="preserve">will improve farmer’s access to water and water efficiency. When coupled with agricultural extension services, training programs and demonstration plots, the provision of high-quality inputs, and the diversification of income sources, these investments will enhance agricultural productivity. Such investments will be inclusionary in design and attempt to reach women farmers, marginalized farmers and farmers with severely affected land quality. Furthermore, an improved road network will </w:t>
      </w:r>
      <w:r w:rsidR="00AC0064" w:rsidRPr="006D3969">
        <w:rPr>
          <w:rFonts w:asciiTheme="majorHAnsi" w:hAnsiTheme="majorHAnsi"/>
        </w:rPr>
        <w:t>provide</w:t>
      </w:r>
      <w:r w:rsidR="005E1AA3" w:rsidRPr="006D3969">
        <w:rPr>
          <w:rFonts w:asciiTheme="majorHAnsi" w:hAnsiTheme="majorHAnsi"/>
        </w:rPr>
        <w:t xml:space="preserve"> farmers greater access to market opportunities. </w:t>
      </w:r>
      <w:r w:rsidR="00DB4C90" w:rsidRPr="006D3969">
        <w:rPr>
          <w:rFonts w:asciiTheme="majorHAnsi" w:hAnsiTheme="majorHAnsi"/>
        </w:rPr>
        <w:t xml:space="preserve">For implementation of BKBDP a credit of US $ </w:t>
      </w:r>
      <w:r w:rsidR="00AC0064" w:rsidRPr="006D3969">
        <w:rPr>
          <w:rFonts w:asciiTheme="majorHAnsi" w:hAnsiTheme="majorHAnsi"/>
        </w:rPr>
        <w:t>250</w:t>
      </w:r>
      <w:r w:rsidR="00DB4C90" w:rsidRPr="006D3969">
        <w:rPr>
          <w:rFonts w:asciiTheme="majorHAnsi" w:hAnsiTheme="majorHAnsi"/>
        </w:rPr>
        <w:t xml:space="preserve"> Million has been received from the World Bank (IDA)</w:t>
      </w:r>
      <w:r w:rsidR="00E447EC" w:rsidRPr="006D3969">
        <w:rPr>
          <w:rFonts w:asciiTheme="majorHAnsi" w:hAnsiTheme="majorHAnsi"/>
        </w:rPr>
        <w:t xml:space="preserve">. </w:t>
      </w:r>
    </w:p>
    <w:p w:rsidR="005E1AA3" w:rsidRPr="006D3969" w:rsidRDefault="005E1AA3" w:rsidP="005E1AA3">
      <w:pPr>
        <w:pStyle w:val="ListParagraph"/>
        <w:contextualSpacing/>
        <w:jc w:val="both"/>
        <w:rPr>
          <w:rFonts w:asciiTheme="majorHAnsi" w:hAnsiTheme="majorHAnsi"/>
          <w:sz w:val="14"/>
          <w:szCs w:val="14"/>
        </w:rPr>
      </w:pPr>
    </w:p>
    <w:p w:rsidR="00C96F74" w:rsidRPr="006D3969" w:rsidRDefault="00E25268" w:rsidP="00EE2B01">
      <w:pPr>
        <w:tabs>
          <w:tab w:val="left" w:pos="720"/>
        </w:tabs>
        <w:spacing w:before="120"/>
        <w:ind w:left="720" w:hanging="360"/>
        <w:jc w:val="both"/>
        <w:rPr>
          <w:rFonts w:asciiTheme="majorHAnsi" w:hAnsiTheme="majorHAnsi"/>
          <w:sz w:val="12"/>
          <w:szCs w:val="12"/>
        </w:rPr>
      </w:pPr>
      <w:r w:rsidRPr="006D3969">
        <w:rPr>
          <w:rFonts w:asciiTheme="majorHAnsi" w:hAnsiTheme="majorHAnsi"/>
        </w:rPr>
        <w:tab/>
        <w:t xml:space="preserve">The GoB </w:t>
      </w:r>
      <w:r w:rsidR="00E47B46">
        <w:rPr>
          <w:rFonts w:asciiTheme="majorHAnsi" w:hAnsiTheme="majorHAnsi"/>
        </w:rPr>
        <w:t>has implemented</w:t>
      </w:r>
      <w:r w:rsidR="00715C6D">
        <w:rPr>
          <w:rFonts w:asciiTheme="majorHAnsi" w:hAnsiTheme="majorHAnsi"/>
        </w:rPr>
        <w:t xml:space="preserve"> BKFRP and</w:t>
      </w:r>
      <w:r w:rsidRPr="006D3969">
        <w:rPr>
          <w:rFonts w:asciiTheme="majorHAnsi" w:hAnsiTheme="majorHAnsi"/>
        </w:rPr>
        <w:t xml:space="preserve"> </w:t>
      </w:r>
      <w:r w:rsidR="00E47B46">
        <w:rPr>
          <w:rFonts w:asciiTheme="majorHAnsi" w:hAnsiTheme="majorHAnsi"/>
        </w:rPr>
        <w:t xml:space="preserve">is implementing </w:t>
      </w:r>
      <w:r w:rsidRPr="006D3969">
        <w:rPr>
          <w:rFonts w:asciiTheme="majorHAnsi" w:hAnsiTheme="majorHAnsi"/>
        </w:rPr>
        <w:t>BKBDP through its society namely “Bihar Aapda Punarwas Evam Punarnirman Society” (BAPEPS).</w:t>
      </w:r>
      <w:r w:rsidR="00264944" w:rsidRPr="006D3969">
        <w:rPr>
          <w:rFonts w:asciiTheme="majorHAnsi" w:hAnsiTheme="majorHAnsi"/>
        </w:rPr>
        <w:t xml:space="preserve"> </w:t>
      </w:r>
      <w:r w:rsidR="00BD11EB" w:rsidRPr="003861E5">
        <w:rPr>
          <w:rFonts w:asciiTheme="majorHAnsi" w:hAnsiTheme="majorHAnsi"/>
        </w:rPr>
        <w:t xml:space="preserve">The BKFRP </w:t>
      </w:r>
      <w:r w:rsidR="00E41DC7">
        <w:rPr>
          <w:rFonts w:asciiTheme="majorHAnsi" w:hAnsiTheme="majorHAnsi"/>
        </w:rPr>
        <w:t>has been</w:t>
      </w:r>
      <w:r w:rsidR="00E47B46">
        <w:rPr>
          <w:rFonts w:asciiTheme="majorHAnsi" w:hAnsiTheme="majorHAnsi"/>
        </w:rPr>
        <w:t xml:space="preserve"> closed w.e.f. 30.06.2018. </w:t>
      </w:r>
    </w:p>
    <w:p w:rsidR="00EE2B01" w:rsidRPr="006D3969" w:rsidRDefault="00EE2B01" w:rsidP="00EE2B01">
      <w:pPr>
        <w:tabs>
          <w:tab w:val="left" w:pos="720"/>
        </w:tabs>
        <w:spacing w:before="120"/>
        <w:ind w:left="720" w:hanging="360"/>
        <w:jc w:val="both"/>
        <w:rPr>
          <w:rFonts w:asciiTheme="majorHAnsi" w:hAnsiTheme="majorHAnsi"/>
        </w:rPr>
      </w:pPr>
      <w:r w:rsidRPr="006D3969">
        <w:rPr>
          <w:rFonts w:asciiTheme="majorHAnsi" w:hAnsiTheme="majorHAnsi"/>
          <w:b/>
          <w:bCs/>
        </w:rPr>
        <w:t>1.2</w:t>
      </w:r>
      <w:r w:rsidRPr="006D3969">
        <w:rPr>
          <w:rFonts w:asciiTheme="majorHAnsi" w:hAnsiTheme="majorHAnsi"/>
        </w:rPr>
        <w:t xml:space="preserve"> </w:t>
      </w:r>
      <w:r w:rsidRPr="006D3969">
        <w:rPr>
          <w:rFonts w:asciiTheme="majorHAnsi" w:hAnsiTheme="majorHAnsi"/>
          <w:b/>
          <w:bCs/>
          <w:u w:val="single"/>
        </w:rPr>
        <w:t>Project Objectives</w:t>
      </w:r>
    </w:p>
    <w:p w:rsidR="007F6F80" w:rsidRPr="006D3969" w:rsidRDefault="007F6F80" w:rsidP="00EE2B01">
      <w:pPr>
        <w:tabs>
          <w:tab w:val="left" w:pos="720"/>
        </w:tabs>
        <w:spacing w:before="120"/>
        <w:ind w:left="720" w:hanging="360"/>
        <w:jc w:val="both"/>
        <w:rPr>
          <w:rFonts w:asciiTheme="majorHAnsi" w:hAnsiTheme="majorHAnsi"/>
          <w:sz w:val="8"/>
          <w:szCs w:val="8"/>
        </w:rPr>
      </w:pPr>
    </w:p>
    <w:p w:rsidR="00E447EC" w:rsidRPr="006D3969" w:rsidRDefault="00EE2B01" w:rsidP="00E447EC">
      <w:pPr>
        <w:ind w:left="720"/>
        <w:jc w:val="both"/>
        <w:rPr>
          <w:rFonts w:asciiTheme="majorHAnsi" w:hAnsiTheme="majorHAnsi"/>
        </w:rPr>
      </w:pPr>
      <w:r w:rsidRPr="006D3969">
        <w:rPr>
          <w:rFonts w:asciiTheme="majorHAnsi" w:hAnsiTheme="majorHAnsi"/>
        </w:rPr>
        <w:t xml:space="preserve">The objective of the project is </w:t>
      </w:r>
      <w:r w:rsidR="00E447EC" w:rsidRPr="006D3969">
        <w:rPr>
          <w:rFonts w:asciiTheme="majorHAnsi" w:hAnsiTheme="majorHAnsi"/>
        </w:rPr>
        <w:t xml:space="preserve">convening mechanism between the respective line departments to ensure that synergies among these investments are maximized. By integrating activities from several departments, the project seeks to take </w:t>
      </w:r>
      <w:r w:rsidR="00E447EC" w:rsidRPr="006D3969">
        <w:rPr>
          <w:rFonts w:asciiTheme="majorHAnsi" w:hAnsiTheme="majorHAnsi"/>
        </w:rPr>
        <w:lastRenderedPageBreak/>
        <w:t xml:space="preserve">advantage of complementary actions. Flood risk management, improved access to water, improved connectivity to markets, and increased agricultural productivity will build on each other to help increase output in the targeted area. In addition, several activities will leverage each other. For example, rural roads will be used for evacuation in case of floods and off-grid diesel motors can provide electricity for other activities. </w:t>
      </w:r>
    </w:p>
    <w:p w:rsidR="007D7199" w:rsidRPr="006D3969" w:rsidRDefault="007D7199" w:rsidP="00E447EC">
      <w:pPr>
        <w:ind w:left="720"/>
        <w:jc w:val="both"/>
        <w:rPr>
          <w:rFonts w:asciiTheme="majorHAnsi" w:hAnsiTheme="majorHAnsi"/>
        </w:rPr>
      </w:pPr>
    </w:p>
    <w:p w:rsidR="00EE2B01" w:rsidRPr="006D3969" w:rsidRDefault="00EE2B01" w:rsidP="00E447EC">
      <w:pPr>
        <w:tabs>
          <w:tab w:val="left" w:pos="720"/>
        </w:tabs>
        <w:spacing w:before="120"/>
        <w:ind w:left="720" w:hanging="360"/>
        <w:jc w:val="both"/>
        <w:rPr>
          <w:rFonts w:asciiTheme="majorHAnsi" w:hAnsiTheme="majorHAnsi"/>
        </w:rPr>
      </w:pPr>
      <w:r w:rsidRPr="006D3969">
        <w:rPr>
          <w:rFonts w:asciiTheme="majorHAnsi" w:hAnsiTheme="majorHAnsi"/>
          <w:b/>
          <w:bCs/>
        </w:rPr>
        <w:t>1.3</w:t>
      </w:r>
      <w:r w:rsidRPr="006D3969">
        <w:rPr>
          <w:rFonts w:asciiTheme="majorHAnsi" w:hAnsiTheme="majorHAnsi"/>
        </w:rPr>
        <w:t xml:space="preserve"> </w:t>
      </w:r>
      <w:r w:rsidRPr="006D3969">
        <w:rPr>
          <w:rFonts w:asciiTheme="majorHAnsi" w:hAnsiTheme="majorHAnsi"/>
          <w:b/>
          <w:bCs/>
          <w:u w:val="single"/>
        </w:rPr>
        <w:t>Project components</w:t>
      </w:r>
    </w:p>
    <w:p w:rsidR="00EE2B01" w:rsidRPr="006D3969" w:rsidRDefault="00EE2B01" w:rsidP="006C02E4">
      <w:pPr>
        <w:spacing w:before="120"/>
        <w:ind w:left="720"/>
        <w:jc w:val="both"/>
        <w:rPr>
          <w:rFonts w:asciiTheme="majorHAnsi" w:hAnsiTheme="majorHAnsi"/>
        </w:rPr>
      </w:pPr>
      <w:r w:rsidRPr="006D3969">
        <w:rPr>
          <w:rFonts w:asciiTheme="majorHAnsi" w:hAnsiTheme="majorHAnsi"/>
        </w:rPr>
        <w:t xml:space="preserve">The Bihar Kosi </w:t>
      </w:r>
      <w:r w:rsidR="007F6F80" w:rsidRPr="006D3969">
        <w:rPr>
          <w:rFonts w:asciiTheme="majorHAnsi" w:hAnsiTheme="majorHAnsi"/>
        </w:rPr>
        <w:t>Basin Development P</w:t>
      </w:r>
      <w:r w:rsidRPr="006D3969">
        <w:rPr>
          <w:rFonts w:asciiTheme="majorHAnsi" w:hAnsiTheme="majorHAnsi"/>
        </w:rPr>
        <w:t xml:space="preserve">roject has the following </w:t>
      </w:r>
      <w:r w:rsidR="007F6F80" w:rsidRPr="006D3969">
        <w:rPr>
          <w:rFonts w:asciiTheme="majorHAnsi" w:hAnsiTheme="majorHAnsi"/>
        </w:rPr>
        <w:t>five</w:t>
      </w:r>
      <w:r w:rsidRPr="006D3969">
        <w:rPr>
          <w:rFonts w:asciiTheme="majorHAnsi" w:hAnsiTheme="majorHAnsi"/>
        </w:rPr>
        <w:t xml:space="preserve"> components. A short description of objectives and activities envisaged under each of the component is given below:</w:t>
      </w:r>
    </w:p>
    <w:p w:rsidR="004F6841" w:rsidRPr="006D3969" w:rsidRDefault="004F6841" w:rsidP="00EE2B01">
      <w:pPr>
        <w:spacing w:before="120"/>
        <w:ind w:left="810"/>
        <w:jc w:val="both"/>
        <w:rPr>
          <w:rFonts w:asciiTheme="majorHAnsi" w:hAnsiTheme="majorHAnsi"/>
          <w:sz w:val="2"/>
          <w:szCs w:val="2"/>
        </w:rPr>
      </w:pPr>
    </w:p>
    <w:p w:rsidR="007F6F80" w:rsidRPr="006D3969" w:rsidRDefault="007F6F80" w:rsidP="006C02E4">
      <w:pPr>
        <w:ind w:left="720"/>
        <w:jc w:val="both"/>
        <w:rPr>
          <w:rFonts w:asciiTheme="majorHAnsi" w:hAnsiTheme="majorHAnsi"/>
          <w:b/>
          <w:i/>
        </w:rPr>
      </w:pPr>
      <w:r w:rsidRPr="006D3969">
        <w:rPr>
          <w:rFonts w:asciiTheme="majorHAnsi" w:hAnsiTheme="majorHAnsi"/>
          <w:b/>
          <w:i/>
        </w:rPr>
        <w:t>Component 1 – Improving Flood Risk Management, US$100 million (with US$ 66.67 million Bank Financing)</w:t>
      </w:r>
    </w:p>
    <w:p w:rsidR="007F6F80" w:rsidRPr="006D3969" w:rsidRDefault="007F6F80" w:rsidP="006C02E4">
      <w:pPr>
        <w:spacing w:before="120"/>
        <w:ind w:left="720"/>
        <w:jc w:val="both"/>
        <w:rPr>
          <w:rFonts w:asciiTheme="majorHAnsi" w:hAnsiTheme="majorHAnsi"/>
        </w:rPr>
      </w:pPr>
      <w:r w:rsidRPr="006D3969">
        <w:rPr>
          <w:rFonts w:asciiTheme="majorHAnsi" w:hAnsiTheme="majorHAnsi"/>
        </w:rPr>
        <w:t>The objective of the component is to increase the capacity of the Water Resources Department (WRD) to manage flood risk and to decrease vulnerability to floods in the Kosi River Basin. This objective will be achieved by investing in flood protection infrastructure to reduce vulnerability and by strengthening institutional capacity to better manage the flood protection infrastructure, and understand how the Kosi River system would behave. Activities will build on technical studies, flood forecast modeling, and pilot embankment strengthening activities already underway in BKFRP and FMISC II.</w:t>
      </w:r>
    </w:p>
    <w:p w:rsidR="00E20D27" w:rsidRPr="006D3969" w:rsidRDefault="00E20D27" w:rsidP="007F6F80">
      <w:pPr>
        <w:spacing w:before="120"/>
        <w:ind w:left="810"/>
        <w:jc w:val="both"/>
        <w:rPr>
          <w:rFonts w:asciiTheme="majorHAnsi" w:hAnsiTheme="majorHAnsi"/>
          <w:sz w:val="8"/>
          <w:szCs w:val="8"/>
        </w:rPr>
      </w:pPr>
    </w:p>
    <w:p w:rsidR="00E20D27" w:rsidRPr="006D3969" w:rsidRDefault="00E20D27" w:rsidP="006C02E4">
      <w:pPr>
        <w:ind w:left="720"/>
        <w:jc w:val="both"/>
        <w:rPr>
          <w:rFonts w:asciiTheme="majorHAnsi" w:hAnsiTheme="majorHAnsi"/>
          <w:b/>
          <w:i/>
        </w:rPr>
      </w:pPr>
      <w:r w:rsidRPr="006D3969">
        <w:rPr>
          <w:rFonts w:asciiTheme="majorHAnsi" w:hAnsiTheme="majorHAnsi"/>
          <w:b/>
          <w:i/>
        </w:rPr>
        <w:t>Component 2 - Enhancing Agricultural Productivity and Competitiveness, US$76.5 million (with US$ 50 million Bank Finance)</w:t>
      </w:r>
    </w:p>
    <w:p w:rsidR="00E20D27" w:rsidRPr="006D3969" w:rsidRDefault="00E20D27" w:rsidP="006C02E4">
      <w:pPr>
        <w:ind w:left="720" w:hanging="720"/>
        <w:jc w:val="both"/>
        <w:rPr>
          <w:rFonts w:asciiTheme="majorHAnsi" w:hAnsiTheme="majorHAnsi"/>
          <w:b/>
          <w:i/>
          <w:sz w:val="4"/>
          <w:szCs w:val="4"/>
          <w:u w:val="single"/>
        </w:rPr>
      </w:pPr>
    </w:p>
    <w:p w:rsidR="0048174C" w:rsidRPr="006D3969" w:rsidRDefault="0048174C" w:rsidP="006C02E4">
      <w:pPr>
        <w:spacing w:before="120"/>
        <w:ind w:left="720"/>
        <w:jc w:val="both"/>
        <w:rPr>
          <w:rFonts w:asciiTheme="majorHAnsi" w:hAnsiTheme="majorHAnsi"/>
        </w:rPr>
      </w:pPr>
      <w:r w:rsidRPr="006D3969">
        <w:rPr>
          <w:rFonts w:asciiTheme="majorHAnsi" w:hAnsiTheme="majorHAnsi"/>
          <w:bCs/>
        </w:rPr>
        <w:t xml:space="preserve">This component would work with organized farmers to increase agricultural production (which </w:t>
      </w:r>
      <w:r w:rsidRPr="006D3969">
        <w:rPr>
          <w:rFonts w:asciiTheme="majorHAnsi" w:hAnsiTheme="majorHAnsi"/>
        </w:rPr>
        <w:t>includes</w:t>
      </w:r>
      <w:r w:rsidRPr="006D3969">
        <w:rPr>
          <w:rFonts w:asciiTheme="majorHAnsi" w:hAnsiTheme="majorHAnsi"/>
          <w:bCs/>
        </w:rPr>
        <w:t xml:space="preserve"> crops, horticulture, livestock and fisheries) and </w:t>
      </w:r>
      <w:r w:rsidRPr="006D3969">
        <w:rPr>
          <w:rFonts w:asciiTheme="majorHAnsi" w:hAnsiTheme="majorHAnsi"/>
        </w:rPr>
        <w:t xml:space="preserve">productivity </w:t>
      </w:r>
      <w:r w:rsidRPr="006D3969">
        <w:rPr>
          <w:rFonts w:asciiTheme="majorHAnsi" w:hAnsiTheme="majorHAnsi"/>
          <w:bCs/>
        </w:rPr>
        <w:t>by expanding their access to and adoption of innovative and climate</w:t>
      </w:r>
      <w:r w:rsidR="00E218DF" w:rsidRPr="006D3969">
        <w:rPr>
          <w:rFonts w:asciiTheme="majorHAnsi" w:hAnsiTheme="majorHAnsi"/>
          <w:bCs/>
        </w:rPr>
        <w:t xml:space="preserve"> </w:t>
      </w:r>
      <w:r w:rsidRPr="006D3969">
        <w:rPr>
          <w:rFonts w:asciiTheme="majorHAnsi" w:hAnsiTheme="majorHAnsi"/>
          <w:bCs/>
        </w:rPr>
        <w:t xml:space="preserve">-resilient farm </w:t>
      </w:r>
      <w:r w:rsidRPr="006D3969">
        <w:rPr>
          <w:rFonts w:asciiTheme="majorHAnsi" w:hAnsiTheme="majorHAnsi"/>
        </w:rPr>
        <w:t>technologies</w:t>
      </w:r>
      <w:r w:rsidRPr="006D3969">
        <w:rPr>
          <w:rFonts w:asciiTheme="majorHAnsi" w:hAnsiTheme="majorHAnsi"/>
          <w:bCs/>
        </w:rPr>
        <w:t xml:space="preserve"> and practices (including irrigation) and extending their linkages to market infrastructure.</w:t>
      </w:r>
      <w:r w:rsidRPr="006D3969">
        <w:rPr>
          <w:rFonts w:asciiTheme="majorHAnsi" w:hAnsiTheme="majorHAnsi"/>
        </w:rPr>
        <w:t xml:space="preserve"> Active farmer participation, </w:t>
      </w:r>
      <w:r w:rsidRPr="006D3969">
        <w:rPr>
          <w:rFonts w:asciiTheme="majorHAnsi" w:hAnsiTheme="majorHAnsi"/>
          <w:bCs/>
        </w:rPr>
        <w:t>including that of women farmers, landless and farmers from socially excluded backgrounds,</w:t>
      </w:r>
      <w:r w:rsidRPr="006D3969">
        <w:rPr>
          <w:rFonts w:asciiTheme="majorHAnsi" w:hAnsiTheme="majorHAnsi"/>
        </w:rPr>
        <w:t xml:space="preserve"> in planning, implementing, and evaluating project interventions will enhance the relevance of crops/varieties selected for cultivation and marketing, increase technology adoption, and contribute to the sustainability of both technical interventions and the local institutions supporting farmers.</w:t>
      </w:r>
    </w:p>
    <w:p w:rsidR="00EE01A7" w:rsidRPr="006D3969" w:rsidRDefault="00EE01A7" w:rsidP="00E20D27">
      <w:pPr>
        <w:spacing w:before="120"/>
        <w:ind w:left="810"/>
        <w:jc w:val="both"/>
        <w:rPr>
          <w:rFonts w:asciiTheme="majorHAnsi" w:hAnsiTheme="majorHAnsi"/>
          <w:sz w:val="10"/>
          <w:szCs w:val="10"/>
        </w:rPr>
      </w:pPr>
    </w:p>
    <w:p w:rsidR="00EE01A7" w:rsidRPr="006D3969" w:rsidRDefault="00BB0E1A" w:rsidP="006C02E4">
      <w:pPr>
        <w:ind w:left="720"/>
        <w:jc w:val="both"/>
        <w:rPr>
          <w:rFonts w:asciiTheme="majorHAnsi" w:hAnsiTheme="majorHAnsi"/>
          <w:b/>
          <w:i/>
        </w:rPr>
      </w:pPr>
      <w:r w:rsidRPr="006D3969">
        <w:rPr>
          <w:rFonts w:asciiTheme="majorHAnsi" w:hAnsiTheme="majorHAnsi"/>
          <w:b/>
          <w:i/>
        </w:rPr>
        <w:t xml:space="preserve">Component 3 </w:t>
      </w:r>
      <w:r w:rsidR="0048174C" w:rsidRPr="006D3969">
        <w:rPr>
          <w:rFonts w:asciiTheme="majorHAnsi" w:hAnsiTheme="majorHAnsi"/>
          <w:b/>
          <w:i/>
        </w:rPr>
        <w:t>–</w:t>
      </w:r>
      <w:r w:rsidR="00BD11EB" w:rsidRPr="006D3969">
        <w:rPr>
          <w:rFonts w:asciiTheme="majorHAnsi" w:hAnsiTheme="majorHAnsi"/>
          <w:b/>
          <w:i/>
        </w:rPr>
        <w:t xml:space="preserve"> Augmenting connectivity</w:t>
      </w:r>
      <w:r w:rsidR="0048174C" w:rsidRPr="006D3969">
        <w:rPr>
          <w:rFonts w:asciiTheme="majorHAnsi" w:hAnsiTheme="majorHAnsi"/>
          <w:b/>
          <w:i/>
        </w:rPr>
        <w:t>, US$</w:t>
      </w:r>
      <w:r w:rsidR="00791B9C" w:rsidRPr="006D3969">
        <w:rPr>
          <w:rFonts w:asciiTheme="majorHAnsi" w:hAnsiTheme="majorHAnsi"/>
          <w:b/>
          <w:i/>
        </w:rPr>
        <w:t xml:space="preserve"> </w:t>
      </w:r>
      <w:r w:rsidR="0048174C" w:rsidRPr="006D3969">
        <w:rPr>
          <w:rFonts w:asciiTheme="majorHAnsi" w:hAnsiTheme="majorHAnsi"/>
          <w:b/>
          <w:i/>
        </w:rPr>
        <w:t>173 million (with US$ 115.33 million Bank Financing)</w:t>
      </w:r>
      <w:r w:rsidR="009B7F3E" w:rsidRPr="006D3969">
        <w:rPr>
          <w:rFonts w:asciiTheme="majorHAnsi" w:hAnsiTheme="majorHAnsi"/>
          <w:b/>
          <w:i/>
        </w:rPr>
        <w:t xml:space="preserve"> </w:t>
      </w:r>
    </w:p>
    <w:p w:rsidR="00EE01A7" w:rsidRPr="006D3969" w:rsidRDefault="00EE01A7" w:rsidP="006C02E4">
      <w:pPr>
        <w:ind w:left="720"/>
        <w:jc w:val="both"/>
        <w:rPr>
          <w:rFonts w:asciiTheme="majorHAnsi" w:hAnsiTheme="majorHAnsi"/>
          <w:b/>
          <w:i/>
        </w:rPr>
      </w:pPr>
      <w:r w:rsidRPr="006D3969">
        <w:rPr>
          <w:rFonts w:asciiTheme="majorHAnsi" w:hAnsiTheme="majorHAnsi"/>
          <w:bCs/>
        </w:rPr>
        <w:t>The objective of this component is to improve farmers’ access to markets through the expansion of the local road network that connects rural roads to the main road network that improves connectivity of habitations to the market centers. To achieve this objective, the component will be structured in two subcomponents. These activities will be a continuation of the initiatives started under BKFRP, and will include the same specifications, implementation arrangements, and bidding plans already in place.</w:t>
      </w:r>
    </w:p>
    <w:p w:rsidR="00EE01A7" w:rsidRPr="006D3969" w:rsidRDefault="00EE01A7" w:rsidP="0048174C">
      <w:pPr>
        <w:ind w:left="810"/>
        <w:jc w:val="both"/>
        <w:rPr>
          <w:rFonts w:asciiTheme="majorHAnsi" w:hAnsiTheme="majorHAnsi"/>
          <w:b/>
          <w:iCs/>
          <w:sz w:val="12"/>
          <w:szCs w:val="12"/>
        </w:rPr>
      </w:pPr>
    </w:p>
    <w:p w:rsidR="000D5745" w:rsidRPr="006D3969" w:rsidRDefault="000D5745" w:rsidP="000D5745">
      <w:pPr>
        <w:ind w:left="720"/>
        <w:jc w:val="both"/>
        <w:rPr>
          <w:rFonts w:asciiTheme="majorHAnsi" w:hAnsiTheme="majorHAnsi"/>
        </w:rPr>
      </w:pPr>
      <w:r w:rsidRPr="00E47B46">
        <w:rPr>
          <w:rFonts w:asciiTheme="majorHAnsi" w:hAnsiTheme="majorHAnsi"/>
          <w:b/>
          <w:bCs/>
          <w:i/>
        </w:rPr>
        <w:t>Subcomponent 3.1</w:t>
      </w:r>
      <w:r w:rsidRPr="006D3969">
        <w:rPr>
          <w:rFonts w:asciiTheme="majorHAnsi" w:hAnsiTheme="majorHAnsi"/>
          <w:i/>
        </w:rPr>
        <w:t xml:space="preserve"> – Construction of roads (US$80 million with US$53.33 million Bank Financing)</w:t>
      </w:r>
      <w:r w:rsidRPr="006D3969">
        <w:rPr>
          <w:rFonts w:asciiTheme="majorHAnsi" w:hAnsiTheme="majorHAnsi"/>
        </w:rPr>
        <w:t xml:space="preserve">. </w:t>
      </w:r>
    </w:p>
    <w:p w:rsidR="000D5745" w:rsidRPr="006D3969" w:rsidRDefault="000D5745" w:rsidP="000D5745">
      <w:pPr>
        <w:ind w:left="720"/>
        <w:jc w:val="both"/>
        <w:rPr>
          <w:rFonts w:asciiTheme="majorHAnsi" w:hAnsiTheme="majorHAnsi"/>
        </w:rPr>
      </w:pPr>
      <w:r w:rsidRPr="006D3969">
        <w:rPr>
          <w:rFonts w:asciiTheme="majorHAnsi" w:hAnsiTheme="majorHAnsi"/>
        </w:rPr>
        <w:t xml:space="preserve">This subcomponent will finance the construction of linking roads to major roads and the upgrading of rural roads to provide small villages (population less than 500) greater access to local markets. The sub-component will be implemented in </w:t>
      </w:r>
      <w:r w:rsidRPr="006D3969">
        <w:rPr>
          <w:rFonts w:asciiTheme="majorHAnsi" w:hAnsiTheme="majorHAnsi"/>
        </w:rPr>
        <w:lastRenderedPageBreak/>
        <w:t>the targeted districts. An estimated 400 km of rural roads will be constructed as black top roads and will be built to the latest rural road standards followed under the GoI and Bank financed PMGSY Rural Roads Program.</w:t>
      </w:r>
    </w:p>
    <w:p w:rsidR="000D5745" w:rsidRPr="006D3969" w:rsidRDefault="000D5745" w:rsidP="000D5745">
      <w:pPr>
        <w:ind w:left="720"/>
        <w:jc w:val="both"/>
        <w:rPr>
          <w:rFonts w:asciiTheme="majorHAnsi" w:hAnsiTheme="majorHAnsi"/>
        </w:rPr>
      </w:pPr>
    </w:p>
    <w:p w:rsidR="003C19AB" w:rsidRPr="006D3969" w:rsidRDefault="003C19AB" w:rsidP="00E20EEE">
      <w:pPr>
        <w:ind w:left="720"/>
        <w:jc w:val="both"/>
        <w:rPr>
          <w:rFonts w:asciiTheme="majorHAnsi" w:hAnsiTheme="majorHAnsi"/>
        </w:rPr>
      </w:pPr>
      <w:r w:rsidRPr="00E47B46">
        <w:rPr>
          <w:rFonts w:asciiTheme="majorHAnsi" w:hAnsiTheme="majorHAnsi"/>
          <w:b/>
          <w:bCs/>
          <w:i/>
        </w:rPr>
        <w:t>Subcomponent 3.2</w:t>
      </w:r>
      <w:r w:rsidRPr="006D3969">
        <w:rPr>
          <w:rFonts w:asciiTheme="majorHAnsi" w:hAnsiTheme="majorHAnsi"/>
          <w:i/>
        </w:rPr>
        <w:t xml:space="preserve"> – Institutional strengthening activities at Rural Works Department will amount to</w:t>
      </w:r>
      <w:r w:rsidR="006220E9" w:rsidRPr="006D3969">
        <w:rPr>
          <w:rFonts w:asciiTheme="majorHAnsi" w:hAnsiTheme="majorHAnsi"/>
          <w:i/>
        </w:rPr>
        <w:t xml:space="preserve"> US$</w:t>
      </w:r>
      <w:r w:rsidR="00E20EEE" w:rsidRPr="006D3969">
        <w:rPr>
          <w:rFonts w:asciiTheme="majorHAnsi" w:hAnsiTheme="majorHAnsi"/>
          <w:i/>
        </w:rPr>
        <w:t xml:space="preserve"> </w:t>
      </w:r>
      <w:r w:rsidR="006220E9" w:rsidRPr="006D3969">
        <w:rPr>
          <w:rFonts w:asciiTheme="majorHAnsi" w:hAnsiTheme="majorHAnsi"/>
          <w:i/>
        </w:rPr>
        <w:t>3.0</w:t>
      </w:r>
      <w:r w:rsidR="00E20EEE" w:rsidRPr="006D3969">
        <w:rPr>
          <w:rFonts w:asciiTheme="majorHAnsi" w:hAnsiTheme="majorHAnsi"/>
          <w:i/>
        </w:rPr>
        <w:t xml:space="preserve"> </w:t>
      </w:r>
      <w:r w:rsidR="006220E9" w:rsidRPr="006D3969">
        <w:rPr>
          <w:rFonts w:asciiTheme="majorHAnsi" w:hAnsiTheme="majorHAnsi"/>
          <w:i/>
        </w:rPr>
        <w:t xml:space="preserve">million </w:t>
      </w:r>
      <w:r w:rsidRPr="006D3969">
        <w:rPr>
          <w:rFonts w:asciiTheme="majorHAnsi" w:hAnsiTheme="majorHAnsi"/>
          <w:i/>
        </w:rPr>
        <w:t>(with US$</w:t>
      </w:r>
      <w:r w:rsidR="006220E9" w:rsidRPr="006D3969">
        <w:rPr>
          <w:rFonts w:asciiTheme="majorHAnsi" w:hAnsiTheme="majorHAnsi"/>
          <w:i/>
        </w:rPr>
        <w:t xml:space="preserve"> 2</w:t>
      </w:r>
      <w:r w:rsidRPr="006D3969">
        <w:rPr>
          <w:rFonts w:asciiTheme="majorHAnsi" w:hAnsiTheme="majorHAnsi"/>
          <w:i/>
        </w:rPr>
        <w:t>.0 million Bank Financing)</w:t>
      </w:r>
      <w:r w:rsidRPr="006D3969">
        <w:rPr>
          <w:rFonts w:asciiTheme="majorHAnsi" w:hAnsiTheme="majorHAnsi"/>
        </w:rPr>
        <w:t xml:space="preserve">. </w:t>
      </w:r>
    </w:p>
    <w:p w:rsidR="003C19AB" w:rsidRPr="006D3969" w:rsidRDefault="003C19AB" w:rsidP="00E20EEE">
      <w:pPr>
        <w:ind w:left="720"/>
        <w:jc w:val="both"/>
        <w:rPr>
          <w:rFonts w:asciiTheme="majorHAnsi" w:hAnsiTheme="majorHAnsi"/>
        </w:rPr>
      </w:pPr>
      <w:r w:rsidRPr="006D3969">
        <w:rPr>
          <w:rFonts w:asciiTheme="majorHAnsi" w:hAnsiTheme="majorHAnsi"/>
        </w:rPr>
        <w:t>Th</w:t>
      </w:r>
      <w:r w:rsidR="006220E9" w:rsidRPr="006D3969">
        <w:rPr>
          <w:rFonts w:asciiTheme="majorHAnsi" w:hAnsiTheme="majorHAnsi"/>
        </w:rPr>
        <w:t xml:space="preserve">at will focus on the development of asset management and maintenance system, as well as a road maintenance strategy. Activities will also be financed to support training in technical skills and management </w:t>
      </w:r>
      <w:r w:rsidR="00E20EEE" w:rsidRPr="006D3969">
        <w:rPr>
          <w:rFonts w:asciiTheme="majorHAnsi" w:hAnsiTheme="majorHAnsi"/>
        </w:rPr>
        <w:t>information systems for the staff of the Rural Works Department.</w:t>
      </w:r>
    </w:p>
    <w:p w:rsidR="00E20EEE" w:rsidRPr="006D3969" w:rsidRDefault="00E20EEE" w:rsidP="00E20EEE">
      <w:pPr>
        <w:ind w:left="720"/>
        <w:jc w:val="both"/>
        <w:rPr>
          <w:rFonts w:asciiTheme="majorHAnsi" w:hAnsiTheme="majorHAnsi"/>
          <w:i/>
        </w:rPr>
      </w:pPr>
    </w:p>
    <w:p w:rsidR="000D5745" w:rsidRPr="006D3969" w:rsidRDefault="000D5745" w:rsidP="000D5745">
      <w:pPr>
        <w:ind w:left="720"/>
        <w:jc w:val="both"/>
        <w:rPr>
          <w:rFonts w:asciiTheme="majorHAnsi" w:hAnsiTheme="majorHAnsi"/>
        </w:rPr>
      </w:pPr>
      <w:r w:rsidRPr="00E47B46">
        <w:rPr>
          <w:rFonts w:asciiTheme="majorHAnsi" w:hAnsiTheme="majorHAnsi"/>
          <w:b/>
          <w:bCs/>
          <w:i/>
        </w:rPr>
        <w:t>Subcomponent 3.3</w:t>
      </w:r>
      <w:r w:rsidRPr="006D3969">
        <w:rPr>
          <w:rFonts w:asciiTheme="majorHAnsi" w:hAnsiTheme="majorHAnsi"/>
          <w:i/>
        </w:rPr>
        <w:t xml:space="preserve"> – Construction of bridges (US$90.0 million with US$60.0 million Bank Financing)</w:t>
      </w:r>
      <w:r w:rsidRPr="006D3969">
        <w:rPr>
          <w:rFonts w:asciiTheme="majorHAnsi" w:hAnsiTheme="majorHAnsi"/>
        </w:rPr>
        <w:t xml:space="preserve">. </w:t>
      </w:r>
    </w:p>
    <w:p w:rsidR="000D5745" w:rsidRPr="006D3969" w:rsidRDefault="000D5745" w:rsidP="000D5745">
      <w:pPr>
        <w:ind w:left="720"/>
        <w:jc w:val="both"/>
        <w:rPr>
          <w:rFonts w:asciiTheme="majorHAnsi" w:hAnsiTheme="majorHAnsi"/>
        </w:rPr>
      </w:pPr>
      <w:r w:rsidRPr="006D3969">
        <w:rPr>
          <w:rFonts w:asciiTheme="majorHAnsi" w:hAnsiTheme="majorHAnsi"/>
        </w:rPr>
        <w:t>This subcomponent will finance the construction of small and medium bridges to provide greater access to local markets. About 57 bridges will be constructed in the targeted districts. Bridges and culverts will be designed to withstand earthquake forces (per the guidelines of the Bureau of Indian Standards) and with regard to topography and hydrology (per the guidelines of the Indian Roads Congress, the Ministry of Road Transport and Highways, and projected demographic changes).</w:t>
      </w:r>
    </w:p>
    <w:p w:rsidR="000D5745" w:rsidRPr="006D3969" w:rsidRDefault="000D5745" w:rsidP="000D5745">
      <w:pPr>
        <w:ind w:left="720"/>
        <w:jc w:val="both"/>
        <w:rPr>
          <w:rFonts w:asciiTheme="majorHAnsi" w:hAnsiTheme="majorHAnsi"/>
        </w:rPr>
      </w:pPr>
    </w:p>
    <w:p w:rsidR="000D5745" w:rsidRPr="006D3969" w:rsidRDefault="000D5745" w:rsidP="000D5745">
      <w:pPr>
        <w:ind w:firstLine="720"/>
        <w:rPr>
          <w:rFonts w:asciiTheme="majorHAnsi" w:hAnsiTheme="majorHAnsi"/>
          <w:b/>
        </w:rPr>
      </w:pPr>
      <w:r w:rsidRPr="006D3969">
        <w:rPr>
          <w:rFonts w:asciiTheme="majorHAnsi" w:hAnsiTheme="majorHAnsi"/>
          <w:b/>
          <w:i/>
        </w:rPr>
        <w:t>Component 4 – Contingent Emergency Response, US$0 million</w:t>
      </w:r>
    </w:p>
    <w:p w:rsidR="000D5745" w:rsidRPr="006D3969" w:rsidRDefault="000D5745" w:rsidP="000D5745">
      <w:pPr>
        <w:tabs>
          <w:tab w:val="left" w:pos="3544"/>
        </w:tabs>
        <w:jc w:val="both"/>
        <w:rPr>
          <w:rFonts w:asciiTheme="majorHAnsi" w:hAnsiTheme="majorHAnsi"/>
          <w:i/>
          <w:sz w:val="10"/>
          <w:szCs w:val="10"/>
        </w:rPr>
      </w:pPr>
    </w:p>
    <w:p w:rsidR="000D5745" w:rsidRPr="006D3969" w:rsidRDefault="000D5745" w:rsidP="000D5745">
      <w:pPr>
        <w:ind w:left="720"/>
        <w:jc w:val="both"/>
        <w:rPr>
          <w:rFonts w:asciiTheme="majorHAnsi" w:hAnsiTheme="majorHAnsi"/>
        </w:rPr>
      </w:pPr>
      <w:r w:rsidRPr="006D3969">
        <w:rPr>
          <w:rFonts w:asciiTheme="majorHAnsi" w:hAnsiTheme="majorHAnsi"/>
        </w:rPr>
        <w:t>Following an adverse natural event that causes a major natural disaster, the GoB may request the Bank to re-allocate project funds to support response and reconstruction. This component would draw resources from the unallocated expenditure category and/or allow the GoB to request the Bank to re-categorize and reallocate financing from other project components to partially cover emergency response and recovery costs. This component could also be used to channel additional funds should they become available as a result of the emergency.</w:t>
      </w:r>
    </w:p>
    <w:p w:rsidR="000D5745" w:rsidRPr="006D3969" w:rsidRDefault="000D5745" w:rsidP="000D5745">
      <w:pPr>
        <w:jc w:val="both"/>
        <w:rPr>
          <w:rFonts w:asciiTheme="majorHAnsi" w:hAnsiTheme="majorHAnsi"/>
        </w:rPr>
      </w:pPr>
    </w:p>
    <w:p w:rsidR="000D5745" w:rsidRPr="006D3969" w:rsidRDefault="000D5745" w:rsidP="00E47B46">
      <w:pPr>
        <w:tabs>
          <w:tab w:val="left" w:pos="720"/>
        </w:tabs>
        <w:ind w:left="720"/>
        <w:jc w:val="both"/>
        <w:rPr>
          <w:rFonts w:asciiTheme="majorHAnsi" w:hAnsiTheme="majorHAnsi"/>
          <w:b/>
          <w:i/>
          <w:iCs/>
        </w:rPr>
      </w:pPr>
      <w:r w:rsidRPr="006D3969">
        <w:rPr>
          <w:rFonts w:asciiTheme="majorHAnsi" w:hAnsiTheme="majorHAnsi"/>
          <w:b/>
          <w:i/>
          <w:iCs/>
        </w:rPr>
        <w:t>Component 5 – Implementation Support, US$27.0 million (with US$ 18.0 million Bank Financing)</w:t>
      </w:r>
    </w:p>
    <w:p w:rsidR="000D5745" w:rsidRPr="006D3969" w:rsidRDefault="000D5745" w:rsidP="000D5745">
      <w:pPr>
        <w:tabs>
          <w:tab w:val="left" w:pos="3393"/>
        </w:tabs>
        <w:jc w:val="both"/>
        <w:rPr>
          <w:rFonts w:asciiTheme="majorHAnsi" w:hAnsiTheme="majorHAnsi"/>
          <w:i/>
          <w:sz w:val="12"/>
          <w:szCs w:val="12"/>
        </w:rPr>
      </w:pPr>
    </w:p>
    <w:p w:rsidR="000D5745" w:rsidRPr="006D3969" w:rsidRDefault="000D5745" w:rsidP="00791B9C">
      <w:pPr>
        <w:spacing w:after="240"/>
        <w:ind w:left="720"/>
        <w:jc w:val="both"/>
        <w:rPr>
          <w:rFonts w:asciiTheme="majorHAnsi" w:hAnsiTheme="majorHAnsi"/>
        </w:rPr>
      </w:pPr>
      <w:r w:rsidRPr="006D3969">
        <w:rPr>
          <w:rFonts w:asciiTheme="majorHAnsi" w:hAnsiTheme="majorHAnsi"/>
        </w:rPr>
        <w:t>This component would finance activities required for project implementation that would include incremental operating costs of BAPEPS and the IAs. These funds are available to BAPEPS and Project Implementations Units of the IAs to employ subject matter experts, consultants, safeguard and gender experts, financial management consultants/firms agents, and support staff to be housed within each IA and assist with the preparation, implementation, and supervision of project activities. In addition, training, exposure visits, documentation, and monitoring and evaluation, equipment like computer, furniture etc. and project offices, Project Management Consultants, MIS and Third Party Quality Audit (TPQA), internal &amp; external audits, etc. will be financed out of this component. BAPEPS, in coordination with the IAs, will derive a detailed plan for each IA and help strengthening the PIUs for project implementation.</w:t>
      </w:r>
    </w:p>
    <w:p w:rsidR="00EE2B01" w:rsidRPr="006D3969" w:rsidRDefault="00EE2B01" w:rsidP="00625285">
      <w:pPr>
        <w:tabs>
          <w:tab w:val="left" w:pos="720"/>
        </w:tabs>
        <w:spacing w:before="120"/>
        <w:ind w:left="720" w:hanging="360"/>
        <w:jc w:val="both"/>
        <w:rPr>
          <w:rFonts w:asciiTheme="majorHAnsi" w:hAnsiTheme="majorHAnsi"/>
          <w:b/>
          <w:bCs/>
          <w:u w:val="single"/>
        </w:rPr>
      </w:pPr>
      <w:r w:rsidRPr="006D3969">
        <w:rPr>
          <w:rFonts w:asciiTheme="majorHAnsi" w:hAnsiTheme="majorHAnsi"/>
          <w:b/>
          <w:bCs/>
        </w:rPr>
        <w:t>1.4</w:t>
      </w:r>
      <w:r w:rsidRPr="006D3969">
        <w:rPr>
          <w:rFonts w:asciiTheme="majorHAnsi" w:hAnsiTheme="majorHAnsi"/>
        </w:rPr>
        <w:t xml:space="preserve"> </w:t>
      </w:r>
      <w:r w:rsidRPr="006D3969">
        <w:rPr>
          <w:rFonts w:asciiTheme="majorHAnsi" w:hAnsiTheme="majorHAnsi"/>
          <w:b/>
          <w:bCs/>
          <w:u w:val="single"/>
        </w:rPr>
        <w:t xml:space="preserve">Project Implementation Arrangements </w:t>
      </w:r>
    </w:p>
    <w:p w:rsidR="00625285" w:rsidRPr="006D3969" w:rsidRDefault="00625285" w:rsidP="00625285">
      <w:pPr>
        <w:tabs>
          <w:tab w:val="left" w:pos="990"/>
        </w:tabs>
        <w:spacing w:before="240"/>
        <w:ind w:left="990" w:hanging="630"/>
        <w:jc w:val="both"/>
        <w:rPr>
          <w:rFonts w:asciiTheme="majorHAnsi" w:hAnsiTheme="majorHAnsi"/>
        </w:rPr>
      </w:pPr>
      <w:r w:rsidRPr="006D3969">
        <w:rPr>
          <w:rFonts w:asciiTheme="majorHAnsi" w:hAnsiTheme="majorHAnsi"/>
        </w:rPr>
        <w:t xml:space="preserve">1.4.1 Under BKFRP, the Government constituted the Bihar Aapda Punarwas Evam Punarnirman Society (BAPEPS) to coordinate project implementation. The BKBDP operation will benefit from this existing arrangement, along with the </w:t>
      </w:r>
      <w:r w:rsidRPr="006D3969">
        <w:rPr>
          <w:rFonts w:asciiTheme="majorHAnsi" w:hAnsiTheme="majorHAnsi"/>
        </w:rPr>
        <w:lastRenderedPageBreak/>
        <w:t>capacity building activities</w:t>
      </w:r>
      <w:r w:rsidR="00E47B46">
        <w:rPr>
          <w:rFonts w:asciiTheme="majorHAnsi" w:hAnsiTheme="majorHAnsi"/>
        </w:rPr>
        <w:t>,</w:t>
      </w:r>
      <w:r w:rsidRPr="006D3969">
        <w:rPr>
          <w:rFonts w:asciiTheme="majorHAnsi" w:hAnsiTheme="majorHAnsi"/>
        </w:rPr>
        <w:t xml:space="preserve"> the Bank is continuing </w:t>
      </w:r>
      <w:r w:rsidR="004C7994" w:rsidRPr="006D3969">
        <w:rPr>
          <w:rFonts w:asciiTheme="majorHAnsi" w:hAnsiTheme="majorHAnsi"/>
        </w:rPr>
        <w:t>its</w:t>
      </w:r>
      <w:r w:rsidRPr="006D3969">
        <w:rPr>
          <w:rFonts w:asciiTheme="majorHAnsi" w:hAnsiTheme="majorHAnsi"/>
        </w:rPr>
        <w:t xml:space="preserve"> support to ensure that BAPEPS successfully implements both projects. This society will act as the </w:t>
      </w:r>
      <w:r w:rsidR="00454501" w:rsidRPr="006D3969">
        <w:rPr>
          <w:rFonts w:asciiTheme="majorHAnsi" w:hAnsiTheme="majorHAnsi"/>
        </w:rPr>
        <w:t>S</w:t>
      </w:r>
      <w:r w:rsidRPr="006D3969">
        <w:rPr>
          <w:rFonts w:asciiTheme="majorHAnsi" w:hAnsiTheme="majorHAnsi"/>
        </w:rPr>
        <w:t>PMU for all components and will be primarily responsible for the implementation of BKBDP. To efficiently implement</w:t>
      </w:r>
      <w:r w:rsidR="004A4113" w:rsidRPr="006D3969">
        <w:rPr>
          <w:rFonts w:asciiTheme="majorHAnsi" w:hAnsiTheme="majorHAnsi"/>
        </w:rPr>
        <w:t xml:space="preserve"> both the </w:t>
      </w:r>
      <w:r w:rsidRPr="006D3969">
        <w:rPr>
          <w:rFonts w:asciiTheme="majorHAnsi" w:hAnsiTheme="majorHAnsi"/>
        </w:rPr>
        <w:t>Project</w:t>
      </w:r>
      <w:r w:rsidR="004A4113" w:rsidRPr="006D3969">
        <w:rPr>
          <w:rFonts w:asciiTheme="majorHAnsi" w:hAnsiTheme="majorHAnsi"/>
        </w:rPr>
        <w:t>s</w:t>
      </w:r>
      <w:r w:rsidRPr="006D3969">
        <w:rPr>
          <w:rFonts w:asciiTheme="majorHAnsi" w:hAnsiTheme="majorHAnsi"/>
        </w:rPr>
        <w:t xml:space="preserve">, BAPEPS will rely on a State level office as well as </w:t>
      </w:r>
      <w:r w:rsidR="00A875B8" w:rsidRPr="006D3969">
        <w:rPr>
          <w:rFonts w:asciiTheme="majorHAnsi" w:hAnsiTheme="majorHAnsi"/>
        </w:rPr>
        <w:t xml:space="preserve">DPIUs of concerned IAs. </w:t>
      </w:r>
      <w:r w:rsidR="00454501" w:rsidRPr="006D3969">
        <w:rPr>
          <w:rFonts w:asciiTheme="majorHAnsi" w:hAnsiTheme="majorHAnsi"/>
        </w:rPr>
        <w:t xml:space="preserve">Project Director, BAPEPS heads the SPMU. </w:t>
      </w:r>
      <w:r w:rsidRPr="006D3969">
        <w:rPr>
          <w:rFonts w:asciiTheme="majorHAnsi" w:hAnsiTheme="majorHAnsi"/>
        </w:rPr>
        <w:t>The ex-Officio Chairperson of the Society</w:t>
      </w:r>
      <w:r w:rsidR="008326E1" w:rsidRPr="006D3969">
        <w:rPr>
          <w:rFonts w:asciiTheme="majorHAnsi" w:hAnsiTheme="majorHAnsi"/>
        </w:rPr>
        <w:t xml:space="preserve">’s Executive Committee </w:t>
      </w:r>
      <w:r w:rsidRPr="006D3969">
        <w:rPr>
          <w:rFonts w:asciiTheme="majorHAnsi" w:hAnsiTheme="majorHAnsi"/>
        </w:rPr>
        <w:t>is the Development Commissioner, GoB.</w:t>
      </w:r>
    </w:p>
    <w:p w:rsidR="00EE2B01" w:rsidRDefault="00625285" w:rsidP="00E82F27">
      <w:pPr>
        <w:tabs>
          <w:tab w:val="left" w:pos="720"/>
          <w:tab w:val="left" w:pos="990"/>
        </w:tabs>
        <w:spacing w:before="240"/>
        <w:ind w:left="990" w:hanging="630"/>
        <w:jc w:val="both"/>
        <w:rPr>
          <w:rFonts w:asciiTheme="majorHAnsi" w:hAnsiTheme="majorHAnsi"/>
        </w:rPr>
      </w:pPr>
      <w:r w:rsidRPr="006D3969">
        <w:rPr>
          <w:rFonts w:asciiTheme="majorHAnsi" w:hAnsiTheme="majorHAnsi"/>
        </w:rPr>
        <w:t xml:space="preserve">  </w:t>
      </w:r>
      <w:r w:rsidR="00454501" w:rsidRPr="006D3969">
        <w:rPr>
          <w:rFonts w:asciiTheme="majorHAnsi" w:hAnsiTheme="majorHAnsi"/>
        </w:rPr>
        <w:tab/>
      </w:r>
      <w:r w:rsidR="00454501" w:rsidRPr="006D3969">
        <w:rPr>
          <w:rFonts w:asciiTheme="majorHAnsi" w:hAnsiTheme="majorHAnsi"/>
        </w:rPr>
        <w:tab/>
      </w:r>
      <w:r w:rsidR="00EE2B01" w:rsidRPr="006D3969">
        <w:rPr>
          <w:rFonts w:asciiTheme="majorHAnsi" w:hAnsiTheme="majorHAnsi"/>
        </w:rPr>
        <w:t>The SPMU is responsible for coordinating and monitoring the implementation of the</w:t>
      </w:r>
      <w:r w:rsidR="004A4113" w:rsidRPr="006D3969">
        <w:rPr>
          <w:rFonts w:asciiTheme="majorHAnsi" w:hAnsiTheme="majorHAnsi"/>
        </w:rPr>
        <w:t xml:space="preserve"> Bihar Kosi Basin Development Project (BKBDP),</w:t>
      </w:r>
      <w:r w:rsidR="00EE2B01" w:rsidRPr="006D3969">
        <w:rPr>
          <w:rFonts w:asciiTheme="majorHAnsi" w:hAnsiTheme="majorHAnsi"/>
        </w:rPr>
        <w:t xml:space="preserve"> being executed by the respective Implementing Agencies (IAs). </w:t>
      </w:r>
      <w:r w:rsidR="00E82F27" w:rsidRPr="006D3969">
        <w:rPr>
          <w:rFonts w:asciiTheme="majorHAnsi" w:hAnsiTheme="majorHAnsi"/>
        </w:rPr>
        <w:t>T</w:t>
      </w:r>
      <w:r w:rsidR="00EE2B01" w:rsidRPr="006D3969">
        <w:rPr>
          <w:rFonts w:asciiTheme="majorHAnsi" w:hAnsiTheme="majorHAnsi"/>
        </w:rPr>
        <w:t xml:space="preserve">he </w:t>
      </w:r>
      <w:r w:rsidR="00E82F27" w:rsidRPr="006D3969">
        <w:rPr>
          <w:rFonts w:asciiTheme="majorHAnsi" w:hAnsiTheme="majorHAnsi"/>
        </w:rPr>
        <w:t>five</w:t>
      </w:r>
      <w:r w:rsidR="00EE2B01" w:rsidRPr="006D3969">
        <w:rPr>
          <w:rFonts w:asciiTheme="majorHAnsi" w:hAnsiTheme="majorHAnsi"/>
        </w:rPr>
        <w:t xml:space="preserve"> Line Departments namely </w:t>
      </w:r>
      <w:r w:rsidR="004A1D28" w:rsidRPr="006D3969">
        <w:rPr>
          <w:rFonts w:asciiTheme="majorHAnsi" w:hAnsiTheme="majorHAnsi"/>
        </w:rPr>
        <w:t xml:space="preserve"> </w:t>
      </w:r>
      <w:r w:rsidR="00EE2B01" w:rsidRPr="006D3969">
        <w:rPr>
          <w:rFonts w:asciiTheme="majorHAnsi" w:hAnsiTheme="majorHAnsi"/>
        </w:rPr>
        <w:t>Bihar Rajya Pul Nirman Nigam Lim</w:t>
      </w:r>
      <w:r w:rsidR="00E82F27" w:rsidRPr="006D3969">
        <w:rPr>
          <w:rFonts w:asciiTheme="majorHAnsi" w:hAnsiTheme="majorHAnsi"/>
        </w:rPr>
        <w:t>ited (BRPNNL)</w:t>
      </w:r>
      <w:r w:rsidR="004A1D28" w:rsidRPr="006D3969">
        <w:rPr>
          <w:rFonts w:asciiTheme="majorHAnsi" w:hAnsiTheme="majorHAnsi"/>
        </w:rPr>
        <w:t>, Rural Works Department</w:t>
      </w:r>
      <w:r w:rsidR="00E82F27" w:rsidRPr="006D3969">
        <w:rPr>
          <w:rFonts w:asciiTheme="majorHAnsi" w:hAnsiTheme="majorHAnsi"/>
        </w:rPr>
        <w:t xml:space="preserve"> (RWD)</w:t>
      </w:r>
      <w:r w:rsidR="00E80096" w:rsidRPr="006D3969">
        <w:rPr>
          <w:rFonts w:asciiTheme="majorHAnsi" w:hAnsiTheme="majorHAnsi"/>
        </w:rPr>
        <w:t xml:space="preserve">, </w:t>
      </w:r>
      <w:r w:rsidR="00EE2B01" w:rsidRPr="006D3969">
        <w:rPr>
          <w:rFonts w:asciiTheme="majorHAnsi" w:hAnsiTheme="majorHAnsi"/>
        </w:rPr>
        <w:t>Water Resources Department</w:t>
      </w:r>
      <w:r w:rsidR="00E80096" w:rsidRPr="006D3969">
        <w:rPr>
          <w:rFonts w:asciiTheme="majorHAnsi" w:hAnsiTheme="majorHAnsi"/>
        </w:rPr>
        <w:t xml:space="preserve"> (WRD)</w:t>
      </w:r>
      <w:r w:rsidR="00577AE4" w:rsidRPr="006D3969">
        <w:rPr>
          <w:rFonts w:asciiTheme="majorHAnsi" w:hAnsiTheme="majorHAnsi"/>
        </w:rPr>
        <w:t xml:space="preserve">, Department of Agriculture (DoAg) and Animal and Fisheries Resource Department (AFRD) </w:t>
      </w:r>
      <w:r w:rsidR="00EE2B01" w:rsidRPr="006D3969">
        <w:rPr>
          <w:rFonts w:asciiTheme="majorHAnsi" w:hAnsiTheme="majorHAnsi"/>
        </w:rPr>
        <w:t xml:space="preserve"> are the Implementing Agencies and are responsible for ensuring timely completion of the works maintaining specific quality standards as spelt out in respective agreements made with the contractors.</w:t>
      </w:r>
    </w:p>
    <w:p w:rsidR="0086083A" w:rsidRDefault="0086083A" w:rsidP="002050FB">
      <w:pPr>
        <w:ind w:left="993" w:hanging="720"/>
        <w:jc w:val="both"/>
        <w:rPr>
          <w:rFonts w:asciiTheme="majorHAnsi" w:hAnsiTheme="majorHAnsi"/>
        </w:rPr>
      </w:pPr>
    </w:p>
    <w:p w:rsidR="00EE2B01" w:rsidRPr="006D3969" w:rsidRDefault="00EE2B01" w:rsidP="002050FB">
      <w:pPr>
        <w:ind w:left="993" w:hanging="720"/>
        <w:jc w:val="both"/>
        <w:rPr>
          <w:rFonts w:asciiTheme="majorHAnsi" w:hAnsiTheme="majorHAnsi"/>
        </w:rPr>
      </w:pPr>
      <w:r w:rsidRPr="006D3969">
        <w:rPr>
          <w:rFonts w:asciiTheme="majorHAnsi" w:hAnsiTheme="majorHAnsi"/>
        </w:rPr>
        <w:t>1.4.2</w:t>
      </w:r>
      <w:r w:rsidR="00AF4A60" w:rsidRPr="006D3969">
        <w:rPr>
          <w:rFonts w:asciiTheme="majorHAnsi" w:hAnsiTheme="majorHAnsi"/>
        </w:rPr>
        <w:tab/>
      </w:r>
      <w:r w:rsidRPr="006D3969">
        <w:rPr>
          <w:rFonts w:asciiTheme="majorHAnsi" w:hAnsiTheme="majorHAnsi"/>
        </w:rPr>
        <w:t xml:space="preserve">The </w:t>
      </w:r>
      <w:r w:rsidR="00A63CCF" w:rsidRPr="006D3969">
        <w:rPr>
          <w:rFonts w:asciiTheme="majorHAnsi" w:hAnsiTheme="majorHAnsi"/>
        </w:rPr>
        <w:t xml:space="preserve">Financial Management </w:t>
      </w:r>
      <w:r w:rsidR="00615A7F" w:rsidRPr="006D3969">
        <w:rPr>
          <w:rFonts w:asciiTheme="majorHAnsi" w:hAnsiTheme="majorHAnsi"/>
        </w:rPr>
        <w:t xml:space="preserve">Support </w:t>
      </w:r>
      <w:r w:rsidR="00A63CCF" w:rsidRPr="006D3969">
        <w:rPr>
          <w:rFonts w:asciiTheme="majorHAnsi" w:hAnsiTheme="majorHAnsi"/>
        </w:rPr>
        <w:t xml:space="preserve">Consultant </w:t>
      </w:r>
      <w:r w:rsidR="00E97F99" w:rsidRPr="006D3969">
        <w:rPr>
          <w:rFonts w:asciiTheme="majorHAnsi" w:hAnsiTheme="majorHAnsi"/>
        </w:rPr>
        <w:t xml:space="preserve">(FMSC) </w:t>
      </w:r>
      <w:r w:rsidRPr="006D3969">
        <w:rPr>
          <w:rFonts w:asciiTheme="majorHAnsi" w:hAnsiTheme="majorHAnsi"/>
        </w:rPr>
        <w:t xml:space="preserve">will be appointed by the BAPEPS. The </w:t>
      </w:r>
      <w:r w:rsidR="00E97F99" w:rsidRPr="006D3969">
        <w:rPr>
          <w:rFonts w:asciiTheme="majorHAnsi" w:hAnsiTheme="majorHAnsi"/>
        </w:rPr>
        <w:t>FMSC</w:t>
      </w:r>
      <w:r w:rsidRPr="006D3969">
        <w:rPr>
          <w:rFonts w:asciiTheme="majorHAnsi" w:hAnsiTheme="majorHAnsi"/>
        </w:rPr>
        <w:t xml:space="preserve"> shall report to BAPEPS and submit its findings.</w:t>
      </w:r>
    </w:p>
    <w:p w:rsidR="00EE2B01" w:rsidRPr="006D3969" w:rsidRDefault="00EE2B01" w:rsidP="00AF5C70">
      <w:pPr>
        <w:pStyle w:val="Heading1"/>
        <w:keepLines w:val="0"/>
        <w:tabs>
          <w:tab w:val="left" w:pos="426"/>
        </w:tabs>
        <w:spacing w:before="360" w:after="120" w:line="288" w:lineRule="auto"/>
        <w:ind w:left="426" w:hanging="426"/>
        <w:jc w:val="both"/>
        <w:rPr>
          <w:rFonts w:asciiTheme="majorHAnsi" w:hAnsiTheme="majorHAnsi"/>
          <w:bCs/>
          <w:sz w:val="24"/>
          <w:szCs w:val="24"/>
        </w:rPr>
      </w:pPr>
      <w:bookmarkStart w:id="3" w:name="_Toc242524051"/>
      <w:r w:rsidRPr="006D3969">
        <w:rPr>
          <w:rFonts w:asciiTheme="majorHAnsi" w:hAnsiTheme="majorHAnsi"/>
          <w:sz w:val="26"/>
          <w:szCs w:val="14"/>
        </w:rPr>
        <w:t>2</w:t>
      </w:r>
      <w:r w:rsidRPr="006D3969">
        <w:rPr>
          <w:rFonts w:asciiTheme="majorHAnsi" w:hAnsiTheme="majorHAnsi"/>
        </w:rPr>
        <w:t xml:space="preserve">. </w:t>
      </w:r>
      <w:r w:rsidR="005E78EE" w:rsidRPr="006D3969">
        <w:rPr>
          <w:rFonts w:asciiTheme="majorHAnsi" w:hAnsiTheme="majorHAnsi"/>
          <w:bCs/>
          <w:sz w:val="24"/>
          <w:szCs w:val="24"/>
        </w:rPr>
        <w:t xml:space="preserve">OBJECTIVE </w:t>
      </w:r>
      <w:r w:rsidR="00AF5C70" w:rsidRPr="006D3969">
        <w:rPr>
          <w:rFonts w:asciiTheme="majorHAnsi" w:hAnsiTheme="majorHAnsi"/>
          <w:bCs/>
          <w:sz w:val="24"/>
          <w:szCs w:val="24"/>
        </w:rPr>
        <w:t xml:space="preserve">OF </w:t>
      </w:r>
      <w:bookmarkEnd w:id="3"/>
      <w:r w:rsidR="00AF5C70" w:rsidRPr="006D3969">
        <w:rPr>
          <w:rFonts w:asciiTheme="majorHAnsi" w:hAnsiTheme="majorHAnsi"/>
          <w:bCs/>
          <w:sz w:val="24"/>
          <w:szCs w:val="24"/>
        </w:rPr>
        <w:t xml:space="preserve">SERVICES TO BE PROVIDED BY FINANCIAL MANAGEMENT SUPPORT CONSULTANT </w:t>
      </w:r>
    </w:p>
    <w:p w:rsidR="00E97F99" w:rsidRPr="006D3969" w:rsidRDefault="005E78EE" w:rsidP="00E97F99">
      <w:pPr>
        <w:tabs>
          <w:tab w:val="left" w:pos="270"/>
        </w:tabs>
        <w:spacing w:before="240" w:line="288" w:lineRule="auto"/>
        <w:jc w:val="both"/>
        <w:rPr>
          <w:rFonts w:asciiTheme="majorHAnsi" w:hAnsiTheme="majorHAnsi" w:cs="Arial"/>
        </w:rPr>
      </w:pPr>
      <w:r w:rsidRPr="006D3969">
        <w:rPr>
          <w:rFonts w:asciiTheme="majorHAnsi" w:hAnsiTheme="majorHAnsi"/>
        </w:rPr>
        <w:tab/>
      </w:r>
      <w:bookmarkStart w:id="4" w:name="_Toc242524052"/>
      <w:r w:rsidR="00E97F99" w:rsidRPr="006D3969">
        <w:rPr>
          <w:rFonts w:asciiTheme="majorHAnsi" w:hAnsiTheme="majorHAnsi" w:cs="Arial"/>
        </w:rPr>
        <w:t>The overall objectives of the proposed services are:</w:t>
      </w:r>
    </w:p>
    <w:p w:rsidR="00E97F99" w:rsidRPr="006D3969" w:rsidRDefault="00E97F99" w:rsidP="00E97F99">
      <w:pPr>
        <w:pStyle w:val="ListParagraph"/>
        <w:numPr>
          <w:ilvl w:val="0"/>
          <w:numId w:val="26"/>
        </w:numPr>
        <w:jc w:val="both"/>
        <w:rPr>
          <w:rFonts w:asciiTheme="majorHAnsi" w:hAnsiTheme="majorHAnsi" w:cs="Arial"/>
        </w:rPr>
      </w:pPr>
      <w:r w:rsidRPr="006D3969">
        <w:rPr>
          <w:rFonts w:asciiTheme="majorHAnsi" w:hAnsiTheme="majorHAnsi" w:cs="Arial"/>
          <w:u w:val="single"/>
        </w:rPr>
        <w:t xml:space="preserve">Financial management aspects of </w:t>
      </w:r>
      <w:r w:rsidR="004A4113" w:rsidRPr="006D3969">
        <w:rPr>
          <w:rFonts w:asciiTheme="majorHAnsi" w:hAnsiTheme="majorHAnsi" w:cs="Arial"/>
          <w:u w:val="single"/>
        </w:rPr>
        <w:t>Bihar Kosi Basin Development Project (BKBDP)</w:t>
      </w:r>
      <w:r w:rsidRPr="006D3969">
        <w:rPr>
          <w:rFonts w:asciiTheme="majorHAnsi" w:hAnsiTheme="majorHAnsi" w:cs="Arial"/>
          <w:u w:val="single"/>
        </w:rPr>
        <w:t>:</w:t>
      </w:r>
      <w:r w:rsidRPr="006D3969">
        <w:rPr>
          <w:rFonts w:asciiTheme="majorHAnsi" w:hAnsiTheme="majorHAnsi" w:cs="Arial"/>
        </w:rPr>
        <w:t xml:space="preserve"> To ensure that all financial management aspects (including accounting) of the project at BAPEPS are </w:t>
      </w:r>
      <w:r w:rsidR="006D0CEC" w:rsidRPr="006D3969">
        <w:rPr>
          <w:rFonts w:asciiTheme="majorHAnsi" w:hAnsiTheme="majorHAnsi" w:cs="Arial"/>
        </w:rPr>
        <w:t xml:space="preserve">being handled in </w:t>
      </w:r>
      <w:r w:rsidRPr="006D3969">
        <w:rPr>
          <w:rFonts w:asciiTheme="majorHAnsi" w:hAnsiTheme="majorHAnsi" w:cs="Arial"/>
        </w:rPr>
        <w:t>satisfactorily</w:t>
      </w:r>
      <w:r w:rsidR="006D0CEC" w:rsidRPr="006D3969">
        <w:rPr>
          <w:rFonts w:asciiTheme="majorHAnsi" w:hAnsiTheme="majorHAnsi" w:cs="Arial"/>
        </w:rPr>
        <w:t xml:space="preserve"> manner</w:t>
      </w:r>
      <w:r w:rsidRPr="006D3969">
        <w:rPr>
          <w:rFonts w:asciiTheme="majorHAnsi" w:hAnsiTheme="majorHAnsi" w:cs="Arial"/>
        </w:rPr>
        <w:t>.  The consultants would provide the required support to project financial staff, including hands-on operational support, and be responsible to ensure that the service standards for financial management activities indicated in the Project Financial Management Manual are met.</w:t>
      </w:r>
    </w:p>
    <w:p w:rsidR="00E97F99" w:rsidRPr="006D3969" w:rsidRDefault="00E97F99" w:rsidP="00E97F99">
      <w:pPr>
        <w:pStyle w:val="ListParagraph"/>
        <w:ind w:left="1080"/>
        <w:jc w:val="both"/>
        <w:rPr>
          <w:rFonts w:asciiTheme="majorHAnsi" w:hAnsiTheme="majorHAnsi" w:cs="Arial"/>
          <w:sz w:val="8"/>
          <w:szCs w:val="8"/>
        </w:rPr>
      </w:pPr>
    </w:p>
    <w:p w:rsidR="00E97F99" w:rsidRPr="006D3969" w:rsidRDefault="00E97F99" w:rsidP="00E97F99">
      <w:pPr>
        <w:pStyle w:val="ListParagraph"/>
        <w:numPr>
          <w:ilvl w:val="0"/>
          <w:numId w:val="26"/>
        </w:numPr>
        <w:jc w:val="both"/>
        <w:rPr>
          <w:rFonts w:asciiTheme="majorHAnsi" w:hAnsiTheme="majorHAnsi" w:cs="Arial"/>
        </w:rPr>
      </w:pPr>
      <w:r w:rsidRPr="006D3969">
        <w:rPr>
          <w:rFonts w:asciiTheme="majorHAnsi" w:hAnsiTheme="majorHAnsi" w:cs="Arial"/>
          <w:u w:val="single"/>
        </w:rPr>
        <w:t>Training</w:t>
      </w:r>
      <w:r w:rsidRPr="006D3969">
        <w:rPr>
          <w:rFonts w:asciiTheme="majorHAnsi" w:hAnsiTheme="majorHAnsi" w:cs="Arial"/>
        </w:rPr>
        <w:t xml:space="preserve">: To provide training to </w:t>
      </w:r>
      <w:r w:rsidR="00A10CD8" w:rsidRPr="006D3969">
        <w:rPr>
          <w:rFonts w:asciiTheme="majorHAnsi" w:hAnsiTheme="majorHAnsi" w:cs="Arial"/>
        </w:rPr>
        <w:t>Implementing Agency’s</w:t>
      </w:r>
      <w:r w:rsidRPr="006D3969">
        <w:rPr>
          <w:rFonts w:asciiTheme="majorHAnsi" w:hAnsiTheme="majorHAnsi" w:cs="Arial"/>
        </w:rPr>
        <w:t xml:space="preserve"> financial and procurement staff.  </w:t>
      </w:r>
    </w:p>
    <w:p w:rsidR="00014BFA" w:rsidRPr="006D3969" w:rsidRDefault="00014BFA" w:rsidP="00E97F99">
      <w:pPr>
        <w:pStyle w:val="ListParagraph"/>
        <w:ind w:left="0"/>
        <w:jc w:val="both"/>
        <w:rPr>
          <w:rFonts w:asciiTheme="majorHAnsi" w:hAnsiTheme="majorHAnsi" w:cs="Arial"/>
        </w:rPr>
      </w:pPr>
    </w:p>
    <w:bookmarkEnd w:id="4"/>
    <w:p w:rsidR="00EE2B01" w:rsidRPr="006D3969" w:rsidRDefault="004D7EAD" w:rsidP="00E0231D">
      <w:pPr>
        <w:pStyle w:val="Heading1"/>
        <w:keepLines w:val="0"/>
        <w:numPr>
          <w:ilvl w:val="0"/>
          <w:numId w:val="17"/>
        </w:numPr>
        <w:tabs>
          <w:tab w:val="left" w:pos="270"/>
        </w:tabs>
        <w:spacing w:before="120" w:after="0" w:line="288" w:lineRule="auto"/>
        <w:ind w:left="0" w:firstLine="0"/>
        <w:jc w:val="both"/>
        <w:rPr>
          <w:rFonts w:asciiTheme="majorHAnsi" w:hAnsiTheme="majorHAnsi"/>
          <w:bCs/>
          <w:sz w:val="24"/>
          <w:szCs w:val="24"/>
        </w:rPr>
      </w:pPr>
      <w:r w:rsidRPr="006D3969">
        <w:rPr>
          <w:rFonts w:asciiTheme="majorHAnsi" w:hAnsiTheme="majorHAnsi"/>
          <w:bCs/>
          <w:sz w:val="24"/>
          <w:szCs w:val="24"/>
        </w:rPr>
        <w:t xml:space="preserve">SCOPE OF SERVICES </w:t>
      </w:r>
    </w:p>
    <w:p w:rsidR="005608F2" w:rsidRPr="006D3969" w:rsidRDefault="001E4827" w:rsidP="00014BFA">
      <w:pPr>
        <w:pStyle w:val="ListParagraph"/>
        <w:spacing w:line="360" w:lineRule="auto"/>
        <w:ind w:left="0" w:firstLine="284"/>
        <w:contextualSpacing/>
        <w:jc w:val="both"/>
        <w:rPr>
          <w:rFonts w:asciiTheme="majorHAnsi" w:hAnsiTheme="majorHAnsi"/>
          <w:b/>
        </w:rPr>
      </w:pPr>
      <w:r w:rsidRPr="006D3969">
        <w:rPr>
          <w:rFonts w:asciiTheme="majorHAnsi" w:eastAsia="Calibri" w:hAnsiTheme="majorHAnsi"/>
          <w:b/>
          <w:bCs/>
          <w:sz w:val="22"/>
          <w:szCs w:val="22"/>
        </w:rPr>
        <w:t>ACCOUNTING ASPECT</w:t>
      </w:r>
      <w:r w:rsidRPr="006D3969">
        <w:rPr>
          <w:rFonts w:asciiTheme="majorHAnsi" w:hAnsiTheme="majorHAnsi"/>
          <w:b/>
        </w:rPr>
        <w:t xml:space="preserve"> </w:t>
      </w:r>
    </w:p>
    <w:p w:rsidR="00CE7C5E" w:rsidRPr="006D3969" w:rsidRDefault="00CE7C5E" w:rsidP="005608F2">
      <w:pPr>
        <w:pStyle w:val="ListParagraph"/>
        <w:spacing w:before="240"/>
        <w:ind w:left="270" w:firstLine="14"/>
        <w:contextualSpacing/>
        <w:jc w:val="both"/>
        <w:rPr>
          <w:rFonts w:asciiTheme="majorHAnsi" w:hAnsiTheme="majorHAnsi"/>
        </w:rPr>
      </w:pPr>
      <w:r w:rsidRPr="006D3969">
        <w:rPr>
          <w:rFonts w:asciiTheme="majorHAnsi" w:hAnsiTheme="majorHAnsi" w:cs="Arial"/>
        </w:rPr>
        <w:t>The main focus of the services would be to provide the necessary operational and technical support to the project financial staff to ensure that the above objectives are achieved. The scope of services to achieve these objectives and the required outputs are given below. The scope outlined below are indicative and not exhaustive</w:t>
      </w:r>
      <w:r w:rsidR="0095438B" w:rsidRPr="006D3969">
        <w:rPr>
          <w:rFonts w:asciiTheme="majorHAnsi" w:hAnsiTheme="majorHAnsi" w:cs="Arial"/>
        </w:rPr>
        <w:t xml:space="preserve">, for </w:t>
      </w:r>
      <w:r w:rsidR="004F418A">
        <w:rPr>
          <w:rFonts w:asciiTheme="majorHAnsi" w:hAnsiTheme="majorHAnsi" w:cs="Arial"/>
        </w:rPr>
        <w:t>the project</w:t>
      </w:r>
      <w:r w:rsidR="0095438B" w:rsidRPr="006D3969">
        <w:rPr>
          <w:rFonts w:asciiTheme="majorHAnsi" w:hAnsiTheme="majorHAnsi" w:cs="Arial"/>
        </w:rPr>
        <w:t xml:space="preserve"> i.e. BKBDP</w:t>
      </w:r>
      <w:r w:rsidRPr="006D3969">
        <w:rPr>
          <w:rFonts w:asciiTheme="majorHAnsi" w:hAnsiTheme="majorHAnsi" w:cs="Arial"/>
        </w:rPr>
        <w:t>:</w:t>
      </w:r>
    </w:p>
    <w:p w:rsidR="009E3236" w:rsidRDefault="00DA1AFE" w:rsidP="000114AE">
      <w:pPr>
        <w:pStyle w:val="ListParagraph"/>
        <w:numPr>
          <w:ilvl w:val="0"/>
          <w:numId w:val="27"/>
        </w:numPr>
        <w:tabs>
          <w:tab w:val="left" w:pos="720"/>
        </w:tabs>
        <w:spacing w:after="120"/>
        <w:ind w:left="720" w:hanging="450"/>
        <w:jc w:val="both"/>
        <w:rPr>
          <w:rFonts w:asciiTheme="majorHAnsi" w:hAnsiTheme="majorHAnsi" w:cs="Arial"/>
        </w:rPr>
      </w:pPr>
      <w:r w:rsidRPr="00795D8E">
        <w:rPr>
          <w:rFonts w:asciiTheme="majorHAnsi" w:hAnsiTheme="majorHAnsi" w:cs="Arial"/>
        </w:rPr>
        <w:t xml:space="preserve">The Financial Management Support Consultant shall maintain or cause to be maintained a financial management system and prepare financial statements (“Financial Statements”) in accordance with consistently applied accounting standards acceptable to the Bank, both in a manner adequate to reflect the operations, resources and expenditures related to the project. </w:t>
      </w:r>
    </w:p>
    <w:p w:rsidR="00492FD2" w:rsidRPr="00795D8E" w:rsidRDefault="00492FD2" w:rsidP="00492FD2">
      <w:pPr>
        <w:pStyle w:val="ListParagraph"/>
        <w:tabs>
          <w:tab w:val="left" w:pos="720"/>
        </w:tabs>
        <w:spacing w:after="120"/>
        <w:jc w:val="both"/>
        <w:rPr>
          <w:rFonts w:asciiTheme="majorHAnsi" w:hAnsiTheme="majorHAnsi" w:cs="Arial"/>
        </w:rPr>
      </w:pPr>
    </w:p>
    <w:p w:rsidR="009E3236" w:rsidRPr="00795D8E" w:rsidRDefault="009E3236" w:rsidP="000114AE">
      <w:pPr>
        <w:pStyle w:val="ListParagraph"/>
        <w:numPr>
          <w:ilvl w:val="0"/>
          <w:numId w:val="27"/>
        </w:numPr>
        <w:tabs>
          <w:tab w:val="left" w:pos="720"/>
        </w:tabs>
        <w:spacing w:after="120"/>
        <w:ind w:left="720" w:hanging="450"/>
        <w:jc w:val="both"/>
        <w:rPr>
          <w:rFonts w:asciiTheme="majorHAnsi" w:hAnsiTheme="majorHAnsi" w:cs="Arial"/>
        </w:rPr>
      </w:pPr>
      <w:r w:rsidRPr="00795D8E">
        <w:rPr>
          <w:rFonts w:asciiTheme="majorHAnsi" w:hAnsiTheme="majorHAnsi" w:cs="Arial"/>
        </w:rPr>
        <w:lastRenderedPageBreak/>
        <w:t xml:space="preserve">The Financial Management Support Consultant shall: </w:t>
      </w:r>
    </w:p>
    <w:p w:rsidR="009E3236" w:rsidRPr="00795D8E" w:rsidRDefault="009E3236" w:rsidP="000114AE">
      <w:pPr>
        <w:pStyle w:val="ListParagraph"/>
        <w:numPr>
          <w:ilvl w:val="0"/>
          <w:numId w:val="30"/>
        </w:numPr>
        <w:spacing w:after="120"/>
        <w:ind w:left="990" w:hanging="270"/>
        <w:jc w:val="both"/>
        <w:rPr>
          <w:rFonts w:asciiTheme="majorHAnsi" w:hAnsiTheme="majorHAnsi" w:cs="Arial"/>
        </w:rPr>
      </w:pPr>
      <w:r w:rsidRPr="00795D8E">
        <w:rPr>
          <w:rFonts w:asciiTheme="majorHAnsi" w:hAnsiTheme="majorHAnsi" w:cs="Arial"/>
        </w:rPr>
        <w:t xml:space="preserve">have the Financial Statements periodically audited in accordance with the Legal Agreements by independent auditors acceptable to the Bank, in accordance with consistently applied auditing standards acceptable to the Bank. </w:t>
      </w:r>
    </w:p>
    <w:p w:rsidR="009E3236" w:rsidRPr="00795D8E" w:rsidRDefault="009E3236" w:rsidP="000114AE">
      <w:pPr>
        <w:pStyle w:val="ListParagraph"/>
        <w:numPr>
          <w:ilvl w:val="0"/>
          <w:numId w:val="30"/>
        </w:numPr>
        <w:spacing w:after="120"/>
        <w:ind w:left="990" w:hanging="270"/>
        <w:jc w:val="both"/>
        <w:rPr>
          <w:rFonts w:asciiTheme="majorHAnsi" w:hAnsiTheme="majorHAnsi" w:cs="Arial"/>
        </w:rPr>
      </w:pPr>
      <w:r w:rsidRPr="00795D8E">
        <w:rPr>
          <w:rFonts w:asciiTheme="majorHAnsi" w:hAnsiTheme="majorHAnsi" w:cs="Arial"/>
        </w:rPr>
        <w:t>not later than the date specified in the Legal Agreements, furnish or cause to be furnished to the Bank the Financial Statements as so audited, and such other information concerning the audited Fi</w:t>
      </w:r>
      <w:r w:rsidR="00795D8E">
        <w:rPr>
          <w:rFonts w:asciiTheme="majorHAnsi" w:hAnsiTheme="majorHAnsi" w:cs="Arial"/>
        </w:rPr>
        <w:t>n</w:t>
      </w:r>
      <w:r w:rsidRPr="00795D8E">
        <w:rPr>
          <w:rFonts w:asciiTheme="majorHAnsi" w:hAnsiTheme="majorHAnsi" w:cs="Arial"/>
        </w:rPr>
        <w:t xml:space="preserve">ancial Statements and such auditors. As the Bank may from time to time reasonable request; and </w:t>
      </w:r>
    </w:p>
    <w:p w:rsidR="00DA1AFE" w:rsidRPr="00795D8E" w:rsidRDefault="009E3236" w:rsidP="000114AE">
      <w:pPr>
        <w:pStyle w:val="ListParagraph"/>
        <w:numPr>
          <w:ilvl w:val="0"/>
          <w:numId w:val="30"/>
        </w:numPr>
        <w:spacing w:after="120"/>
        <w:ind w:left="990" w:hanging="270"/>
        <w:jc w:val="both"/>
        <w:rPr>
          <w:rFonts w:asciiTheme="majorHAnsi" w:hAnsiTheme="majorHAnsi" w:cs="Arial"/>
        </w:rPr>
      </w:pPr>
      <w:r w:rsidRPr="00795D8E">
        <w:rPr>
          <w:rFonts w:asciiTheme="majorHAnsi" w:hAnsiTheme="majorHAnsi" w:cs="Arial"/>
        </w:rPr>
        <w:t xml:space="preserve"> make the audited Financial Statements, or cause the audited Financial Statements to be made, publicly available in a timely fashion and in a manner acceptable to the Bank.  </w:t>
      </w:r>
    </w:p>
    <w:p w:rsidR="00CE7C5E" w:rsidRPr="006D3969" w:rsidRDefault="004F418A"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Pr>
          <w:rFonts w:asciiTheme="majorHAnsi" w:hAnsiTheme="majorHAnsi" w:cs="Arial"/>
        </w:rPr>
        <w:t>s</w:t>
      </w:r>
      <w:r w:rsidR="00CE7C5E" w:rsidRPr="006D3969">
        <w:rPr>
          <w:rFonts w:asciiTheme="majorHAnsi" w:hAnsiTheme="majorHAnsi" w:cs="Arial"/>
        </w:rPr>
        <w:t>atisfactory financial and accounting system in TALLY is installed and maintained throughout the contract period; and ensure that all accounting and financial reports are generated based on Tally outputs</w:t>
      </w:r>
      <w:r w:rsidR="0095438B" w:rsidRPr="006D3969">
        <w:rPr>
          <w:rFonts w:asciiTheme="majorHAnsi" w:hAnsiTheme="majorHAnsi" w:cs="Arial"/>
        </w:rPr>
        <w:t xml:space="preserve"> for components under BKBDP. </w:t>
      </w:r>
    </w:p>
    <w:p w:rsidR="00CE7C5E" w:rsidRPr="006D3969" w:rsidRDefault="00CE7C5E"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 xml:space="preserve">ensure that accounting is carried out as per the agreed financial management system are adhered to; </w:t>
      </w:r>
    </w:p>
    <w:p w:rsidR="00CE7C5E" w:rsidRPr="006D3969" w:rsidRDefault="00CE7C5E"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 xml:space="preserve">the service standards for financial management aspects indicated in the Project Financial Management Manual are met.  Accounting books and records are up-to-date and satisfactorily maintained; </w:t>
      </w:r>
    </w:p>
    <w:p w:rsidR="00CE7C5E" w:rsidRPr="006D3969" w:rsidRDefault="00CE7C5E"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 xml:space="preserve">reports are submitted to the World Bank on timely manner </w:t>
      </w:r>
    </w:p>
    <w:p w:rsidR="00CE7C5E" w:rsidRPr="006D3969" w:rsidRDefault="00CE7C5E"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 xml:space="preserve">ensure submission of IUFR to bank on timely basis. </w:t>
      </w:r>
    </w:p>
    <w:p w:rsidR="00CE7C5E" w:rsidRPr="006D3969" w:rsidRDefault="00CE7C5E"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 xml:space="preserve">internal control system, including aspects such as internal checks, reconciliations, verification of assets, etc. is satisfactory and commensurate with the size and scope of the project; </w:t>
      </w:r>
    </w:p>
    <w:p w:rsidR="00CE7C5E" w:rsidRPr="006D3969" w:rsidRDefault="00CE7C5E"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 xml:space="preserve">the budgeting system and forecasting system, is satisfactory. </w:t>
      </w:r>
    </w:p>
    <w:p w:rsidR="00CE7C5E" w:rsidRPr="006D3969" w:rsidRDefault="00CE7C5E"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 xml:space="preserve">Analysis and summaries of the various reports to facilitate decision making by project management would be prepared as appropriate. </w:t>
      </w:r>
    </w:p>
    <w:p w:rsidR="0095438B" w:rsidRPr="006D3969" w:rsidRDefault="0095438B"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Providing proper &amp; adequate advice with regard to procure</w:t>
      </w:r>
      <w:r w:rsidR="00A823C7" w:rsidRPr="006D3969">
        <w:rPr>
          <w:rFonts w:asciiTheme="majorHAnsi" w:hAnsiTheme="majorHAnsi" w:cs="Arial"/>
        </w:rPr>
        <w:t xml:space="preserve">ment of goods, works, consultancy services etc by BAPEPS and by IA’s, specifically on the post review procurement activities. </w:t>
      </w:r>
      <w:r w:rsidRPr="006D3969">
        <w:rPr>
          <w:rFonts w:asciiTheme="majorHAnsi" w:hAnsiTheme="majorHAnsi" w:cs="Arial"/>
        </w:rPr>
        <w:t xml:space="preserve">  </w:t>
      </w:r>
    </w:p>
    <w:p w:rsidR="00CE7C5E" w:rsidRPr="006D3969" w:rsidRDefault="00CE7C5E"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 xml:space="preserve">Ensure that Annual Project Financial Statements (consolidated for the whole project) are satisfactory and prepared in a timely manner. It is expected that the project financial statements are prepared within timeline and presented to the project auditors for audit. </w:t>
      </w:r>
    </w:p>
    <w:p w:rsidR="00CE7C5E" w:rsidRPr="006D3969" w:rsidRDefault="00CE7C5E" w:rsidP="000114AE">
      <w:pPr>
        <w:pStyle w:val="ListParagraph"/>
        <w:numPr>
          <w:ilvl w:val="0"/>
          <w:numId w:val="27"/>
        </w:numPr>
        <w:tabs>
          <w:tab w:val="clear" w:pos="1260"/>
          <w:tab w:val="num" w:pos="720"/>
        </w:tabs>
        <w:spacing w:after="120"/>
        <w:ind w:left="720" w:hanging="450"/>
        <w:jc w:val="both"/>
        <w:rPr>
          <w:rFonts w:asciiTheme="majorHAnsi" w:hAnsiTheme="majorHAnsi" w:cs="Arial"/>
        </w:rPr>
      </w:pPr>
      <w:r w:rsidRPr="006D3969">
        <w:rPr>
          <w:rFonts w:asciiTheme="majorHAnsi" w:hAnsiTheme="majorHAnsi" w:cs="Arial"/>
        </w:rPr>
        <w:t xml:space="preserve">To liaise with and provide necessary information to the auditors (both Internal and Statutory) to ensure that the annual audit and the concurrent financial review are satisfactory and timely.  The consultant would follow-up and take necessary action based on the audit reports, review reports and management letters. </w:t>
      </w:r>
    </w:p>
    <w:p w:rsidR="00CE7C5E" w:rsidRPr="006D3969" w:rsidRDefault="00872FC2" w:rsidP="001E4827">
      <w:pPr>
        <w:tabs>
          <w:tab w:val="right" w:leader="dot" w:pos="8640"/>
        </w:tabs>
        <w:spacing w:before="120" w:after="120"/>
        <w:ind w:left="480"/>
        <w:rPr>
          <w:rFonts w:asciiTheme="majorHAnsi" w:hAnsiTheme="majorHAnsi"/>
        </w:rPr>
      </w:pPr>
      <w:r>
        <w:rPr>
          <w:rFonts w:asciiTheme="majorHAnsi" w:hAnsiTheme="majorHAnsi" w:cs="Arial"/>
        </w:rPr>
        <w:t xml:space="preserve">        </w:t>
      </w:r>
    </w:p>
    <w:p w:rsidR="00EE2B01" w:rsidRPr="006D3969" w:rsidRDefault="00D611AD" w:rsidP="00D611AD">
      <w:pPr>
        <w:pStyle w:val="Heading1"/>
        <w:keepLines w:val="0"/>
        <w:numPr>
          <w:ilvl w:val="0"/>
          <w:numId w:val="17"/>
        </w:numPr>
        <w:tabs>
          <w:tab w:val="left" w:pos="270"/>
        </w:tabs>
        <w:spacing w:before="120" w:after="0" w:line="288" w:lineRule="auto"/>
        <w:ind w:left="0" w:firstLine="0"/>
        <w:jc w:val="both"/>
        <w:rPr>
          <w:rFonts w:asciiTheme="majorHAnsi" w:hAnsiTheme="majorHAnsi"/>
          <w:sz w:val="26"/>
          <w:szCs w:val="14"/>
        </w:rPr>
      </w:pPr>
      <w:r w:rsidRPr="006D3969">
        <w:rPr>
          <w:rFonts w:asciiTheme="majorHAnsi" w:hAnsiTheme="majorHAnsi"/>
          <w:bCs/>
          <w:sz w:val="24"/>
          <w:szCs w:val="24"/>
        </w:rPr>
        <w:t xml:space="preserve">PERIOD OF ASSIGNMENT </w:t>
      </w:r>
    </w:p>
    <w:p w:rsidR="00751EA3" w:rsidRPr="006D3969" w:rsidRDefault="00690DC1" w:rsidP="00751EA3">
      <w:pPr>
        <w:tabs>
          <w:tab w:val="left" w:pos="284"/>
        </w:tabs>
        <w:ind w:left="284"/>
        <w:jc w:val="both"/>
        <w:rPr>
          <w:rFonts w:asciiTheme="majorHAnsi" w:hAnsiTheme="majorHAnsi" w:cs="Arial"/>
        </w:rPr>
      </w:pPr>
      <w:r>
        <w:rPr>
          <w:rFonts w:asciiTheme="majorHAnsi" w:hAnsiTheme="majorHAnsi" w:cs="Arial"/>
        </w:rPr>
        <w:t xml:space="preserve">The assignment would be for Financial Year </w:t>
      </w:r>
      <w:r w:rsidR="00B46A04">
        <w:rPr>
          <w:rFonts w:asciiTheme="majorHAnsi" w:hAnsiTheme="majorHAnsi" w:cs="Arial"/>
        </w:rPr>
        <w:t>2019-20 &amp; 2020-21</w:t>
      </w:r>
      <w:r w:rsidR="00751EA3" w:rsidRPr="006D3969">
        <w:rPr>
          <w:rFonts w:asciiTheme="majorHAnsi" w:hAnsiTheme="majorHAnsi" w:cs="Arial"/>
        </w:rPr>
        <w:t xml:space="preserve">.  This period could subsequently be extended for a further period </w:t>
      </w:r>
      <w:r w:rsidR="00AC4533" w:rsidRPr="006D3969">
        <w:rPr>
          <w:rFonts w:asciiTheme="majorHAnsi" w:hAnsiTheme="majorHAnsi" w:cs="Arial"/>
        </w:rPr>
        <w:t xml:space="preserve">of 1(one) year </w:t>
      </w:r>
      <w:r w:rsidR="00751EA3" w:rsidRPr="006D3969">
        <w:rPr>
          <w:rFonts w:asciiTheme="majorHAnsi" w:hAnsiTheme="majorHAnsi" w:cs="Arial"/>
        </w:rPr>
        <w:t xml:space="preserve">based on mutual agreement between the </w:t>
      </w:r>
      <w:r w:rsidR="00AC4533" w:rsidRPr="006D3969">
        <w:rPr>
          <w:rFonts w:asciiTheme="majorHAnsi" w:hAnsiTheme="majorHAnsi" w:cs="Arial"/>
        </w:rPr>
        <w:t>BAPEPS</w:t>
      </w:r>
      <w:r w:rsidR="00751EA3" w:rsidRPr="006D3969">
        <w:rPr>
          <w:rFonts w:asciiTheme="majorHAnsi" w:hAnsiTheme="majorHAnsi" w:cs="Arial"/>
        </w:rPr>
        <w:t xml:space="preserve"> and the consultant. </w:t>
      </w:r>
    </w:p>
    <w:p w:rsidR="00EE2B01" w:rsidRPr="006D3969" w:rsidRDefault="00EE2B01" w:rsidP="00EE2B01">
      <w:pPr>
        <w:pStyle w:val="Heading1"/>
        <w:keepLines w:val="0"/>
        <w:spacing w:after="0" w:line="288" w:lineRule="auto"/>
        <w:jc w:val="both"/>
        <w:rPr>
          <w:rFonts w:asciiTheme="majorHAnsi" w:hAnsiTheme="majorHAnsi"/>
        </w:rPr>
      </w:pPr>
      <w:bookmarkStart w:id="5" w:name="_Toc242524054"/>
      <w:r w:rsidRPr="006D3969">
        <w:rPr>
          <w:rFonts w:asciiTheme="majorHAnsi" w:hAnsiTheme="majorHAnsi"/>
          <w:sz w:val="24"/>
          <w:szCs w:val="12"/>
        </w:rPr>
        <w:lastRenderedPageBreak/>
        <w:t xml:space="preserve">5. </w:t>
      </w:r>
      <w:r w:rsidR="00341F92" w:rsidRPr="006D3969">
        <w:rPr>
          <w:rFonts w:asciiTheme="majorHAnsi" w:hAnsiTheme="majorHAnsi"/>
          <w:sz w:val="26"/>
          <w:szCs w:val="14"/>
        </w:rPr>
        <w:t>TEAM COMPOSITION AND ESTIMATED MAN MONTH INPUTS</w:t>
      </w:r>
      <w:bookmarkEnd w:id="5"/>
    </w:p>
    <w:p w:rsidR="00751EA3" w:rsidRPr="006D3969" w:rsidRDefault="00751EA3" w:rsidP="00751EA3">
      <w:pPr>
        <w:ind w:firstLine="284"/>
        <w:jc w:val="both"/>
        <w:rPr>
          <w:rFonts w:asciiTheme="majorHAnsi" w:hAnsiTheme="majorHAnsi" w:cs="Arial"/>
        </w:rPr>
      </w:pPr>
      <w:r w:rsidRPr="006D3969">
        <w:rPr>
          <w:rFonts w:asciiTheme="majorHAnsi" w:hAnsiTheme="majorHAnsi" w:cs="Arial"/>
        </w:rPr>
        <w:t xml:space="preserve">The list of key personnel and support Staff </w:t>
      </w:r>
      <w:r w:rsidR="00AE0F76">
        <w:rPr>
          <w:rFonts w:asciiTheme="majorHAnsi" w:hAnsiTheme="majorHAnsi" w:cs="Arial"/>
        </w:rPr>
        <w:t xml:space="preserve">along with their required man days </w:t>
      </w:r>
      <w:r w:rsidRPr="006D3969">
        <w:rPr>
          <w:rFonts w:asciiTheme="majorHAnsi" w:hAnsiTheme="majorHAnsi" w:cs="Arial"/>
        </w:rPr>
        <w:t xml:space="preserve">required for the assignment is as under:  </w:t>
      </w:r>
    </w:p>
    <w:p w:rsidR="00751EA3" w:rsidRPr="006D3969" w:rsidRDefault="00751EA3" w:rsidP="00EE2B01">
      <w:pPr>
        <w:rPr>
          <w:rFonts w:asciiTheme="majorHAnsi" w:hAnsiTheme="majorHAnsi"/>
          <w:b/>
          <w:bCs/>
          <w:sz w:val="6"/>
          <w:szCs w:val="6"/>
          <w:u w:val="single"/>
        </w:rPr>
      </w:pPr>
      <w:bookmarkStart w:id="6" w:name="_Toc242524055"/>
    </w:p>
    <w:tbl>
      <w:tblPr>
        <w:tblW w:w="10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542"/>
        <w:gridCol w:w="1625"/>
        <w:gridCol w:w="1800"/>
        <w:gridCol w:w="4140"/>
        <w:gridCol w:w="810"/>
        <w:gridCol w:w="1263"/>
      </w:tblGrid>
      <w:tr w:rsidR="00751EA3" w:rsidRPr="006D3969" w:rsidTr="006C3AE3">
        <w:trPr>
          <w:tblHeader/>
        </w:trPr>
        <w:tc>
          <w:tcPr>
            <w:tcW w:w="542" w:type="dxa"/>
            <w:shd w:val="clear" w:color="auto" w:fill="999999"/>
          </w:tcPr>
          <w:p w:rsidR="00D12228" w:rsidRPr="006D3969" w:rsidRDefault="00751EA3" w:rsidP="003C19AB">
            <w:pPr>
              <w:ind w:left="-720" w:firstLine="720"/>
              <w:rPr>
                <w:rFonts w:asciiTheme="majorHAnsi" w:hAnsiTheme="majorHAnsi" w:cs="Arial"/>
                <w:b/>
                <w:bCs/>
              </w:rPr>
            </w:pPr>
            <w:r w:rsidRPr="006D3969">
              <w:rPr>
                <w:rFonts w:asciiTheme="majorHAnsi" w:hAnsiTheme="majorHAnsi" w:cs="Arial"/>
                <w:b/>
                <w:bCs/>
              </w:rPr>
              <w:t>S.</w:t>
            </w:r>
          </w:p>
          <w:p w:rsidR="00751EA3" w:rsidRPr="006D3969" w:rsidRDefault="00751EA3" w:rsidP="003C19AB">
            <w:pPr>
              <w:ind w:left="-720" w:firstLine="720"/>
              <w:rPr>
                <w:rFonts w:asciiTheme="majorHAnsi" w:hAnsiTheme="majorHAnsi" w:cs="Arial"/>
                <w:b/>
                <w:bCs/>
              </w:rPr>
            </w:pPr>
            <w:r w:rsidRPr="006D3969">
              <w:rPr>
                <w:rFonts w:asciiTheme="majorHAnsi" w:hAnsiTheme="majorHAnsi" w:cs="Arial"/>
                <w:b/>
                <w:bCs/>
              </w:rPr>
              <w:t>No.</w:t>
            </w:r>
          </w:p>
        </w:tc>
        <w:tc>
          <w:tcPr>
            <w:tcW w:w="1625" w:type="dxa"/>
            <w:shd w:val="clear" w:color="auto" w:fill="999999"/>
          </w:tcPr>
          <w:p w:rsidR="00751EA3" w:rsidRPr="006D3969" w:rsidRDefault="00751EA3" w:rsidP="00D12228">
            <w:pPr>
              <w:ind w:left="-59" w:right="-115" w:firstLine="59"/>
              <w:jc w:val="center"/>
              <w:rPr>
                <w:rFonts w:asciiTheme="majorHAnsi" w:hAnsiTheme="majorHAnsi" w:cs="Arial"/>
                <w:b/>
                <w:bCs/>
              </w:rPr>
            </w:pPr>
            <w:r w:rsidRPr="006D3969">
              <w:rPr>
                <w:rFonts w:asciiTheme="majorHAnsi" w:hAnsiTheme="majorHAnsi" w:cs="Arial"/>
                <w:b/>
                <w:bCs/>
              </w:rPr>
              <w:t>Key Professionals</w:t>
            </w:r>
          </w:p>
        </w:tc>
        <w:tc>
          <w:tcPr>
            <w:tcW w:w="1800" w:type="dxa"/>
            <w:shd w:val="clear" w:color="auto" w:fill="999999"/>
          </w:tcPr>
          <w:p w:rsidR="00751EA3" w:rsidRPr="006D3969" w:rsidRDefault="00751EA3" w:rsidP="003C19AB">
            <w:pPr>
              <w:ind w:left="-60"/>
              <w:jc w:val="center"/>
              <w:rPr>
                <w:rFonts w:asciiTheme="majorHAnsi" w:hAnsiTheme="majorHAnsi" w:cs="Arial"/>
                <w:b/>
                <w:bCs/>
              </w:rPr>
            </w:pPr>
            <w:r w:rsidRPr="006D3969">
              <w:rPr>
                <w:rFonts w:asciiTheme="majorHAnsi" w:hAnsiTheme="majorHAnsi" w:cs="Arial"/>
                <w:b/>
                <w:bCs/>
              </w:rPr>
              <w:t>Description of Services to be provided</w:t>
            </w:r>
          </w:p>
        </w:tc>
        <w:tc>
          <w:tcPr>
            <w:tcW w:w="4140" w:type="dxa"/>
            <w:shd w:val="clear" w:color="auto" w:fill="999999"/>
          </w:tcPr>
          <w:p w:rsidR="00751EA3" w:rsidRPr="006D3969" w:rsidRDefault="00751EA3" w:rsidP="003C19AB">
            <w:pPr>
              <w:ind w:left="-720" w:firstLine="720"/>
              <w:jc w:val="center"/>
              <w:rPr>
                <w:rFonts w:asciiTheme="majorHAnsi" w:hAnsiTheme="majorHAnsi" w:cs="Arial"/>
                <w:b/>
                <w:bCs/>
              </w:rPr>
            </w:pPr>
            <w:r w:rsidRPr="006D3969">
              <w:rPr>
                <w:rFonts w:asciiTheme="majorHAnsi" w:hAnsiTheme="majorHAnsi" w:cs="Arial"/>
                <w:b/>
                <w:bCs/>
              </w:rPr>
              <w:t>Experience</w:t>
            </w:r>
          </w:p>
        </w:tc>
        <w:tc>
          <w:tcPr>
            <w:tcW w:w="810" w:type="dxa"/>
            <w:shd w:val="clear" w:color="auto" w:fill="999999"/>
          </w:tcPr>
          <w:p w:rsidR="00751EA3" w:rsidRPr="006D3969" w:rsidRDefault="00751EA3" w:rsidP="003C19AB">
            <w:pPr>
              <w:ind w:left="44" w:hanging="44"/>
              <w:jc w:val="center"/>
              <w:rPr>
                <w:rFonts w:asciiTheme="majorHAnsi" w:hAnsiTheme="majorHAnsi" w:cs="Arial"/>
                <w:b/>
                <w:bCs/>
              </w:rPr>
            </w:pPr>
            <w:r w:rsidRPr="006D3969">
              <w:rPr>
                <w:rFonts w:asciiTheme="majorHAnsi" w:hAnsiTheme="majorHAnsi" w:cs="Arial"/>
                <w:b/>
                <w:bCs/>
              </w:rPr>
              <w:t xml:space="preserve">No. of </w:t>
            </w:r>
          </w:p>
          <w:p w:rsidR="00751EA3" w:rsidRPr="006D3969" w:rsidRDefault="00751EA3" w:rsidP="003C19AB">
            <w:pPr>
              <w:ind w:left="44" w:hanging="44"/>
              <w:jc w:val="center"/>
              <w:rPr>
                <w:rFonts w:asciiTheme="majorHAnsi" w:hAnsiTheme="majorHAnsi" w:cs="Arial"/>
                <w:b/>
                <w:bCs/>
              </w:rPr>
            </w:pPr>
            <w:r w:rsidRPr="006D3969">
              <w:rPr>
                <w:rFonts w:asciiTheme="majorHAnsi" w:hAnsiTheme="majorHAnsi" w:cs="Arial"/>
                <w:b/>
                <w:bCs/>
              </w:rPr>
              <w:t>persons</w:t>
            </w:r>
          </w:p>
        </w:tc>
        <w:tc>
          <w:tcPr>
            <w:tcW w:w="1263" w:type="dxa"/>
            <w:shd w:val="clear" w:color="auto" w:fill="999999"/>
          </w:tcPr>
          <w:p w:rsidR="00751EA3" w:rsidRPr="006D3969" w:rsidRDefault="00751EA3" w:rsidP="00E158F9">
            <w:pPr>
              <w:ind w:left="-115" w:right="-112" w:hanging="44"/>
              <w:jc w:val="center"/>
              <w:rPr>
                <w:rFonts w:asciiTheme="majorHAnsi" w:hAnsiTheme="majorHAnsi" w:cs="Arial"/>
                <w:b/>
                <w:bCs/>
              </w:rPr>
            </w:pPr>
            <w:r w:rsidRPr="006D3969">
              <w:rPr>
                <w:rFonts w:asciiTheme="majorHAnsi" w:hAnsiTheme="majorHAnsi" w:cs="Arial"/>
                <w:b/>
                <w:bCs/>
              </w:rPr>
              <w:t xml:space="preserve">Total Man months </w:t>
            </w:r>
            <w:r w:rsidR="00E158F9">
              <w:rPr>
                <w:rFonts w:asciiTheme="majorHAnsi" w:hAnsiTheme="majorHAnsi" w:cs="Arial"/>
                <w:b/>
                <w:bCs/>
              </w:rPr>
              <w:t>for 2</w:t>
            </w:r>
            <w:r w:rsidRPr="006D3969">
              <w:rPr>
                <w:rFonts w:asciiTheme="majorHAnsi" w:hAnsiTheme="majorHAnsi" w:cs="Arial"/>
                <w:b/>
                <w:bCs/>
              </w:rPr>
              <w:t xml:space="preserve"> year</w:t>
            </w:r>
            <w:r w:rsidR="00E158F9">
              <w:rPr>
                <w:rFonts w:asciiTheme="majorHAnsi" w:hAnsiTheme="majorHAnsi" w:cs="Arial"/>
                <w:b/>
                <w:bCs/>
              </w:rPr>
              <w:t>s</w:t>
            </w:r>
            <w:r w:rsidRPr="006D3969">
              <w:rPr>
                <w:rFonts w:asciiTheme="majorHAnsi" w:hAnsiTheme="majorHAnsi" w:cs="Arial"/>
                <w:b/>
                <w:bCs/>
              </w:rPr>
              <w:t xml:space="preserve"> </w:t>
            </w:r>
          </w:p>
        </w:tc>
      </w:tr>
      <w:tr w:rsidR="00751EA3" w:rsidRPr="006D3969" w:rsidTr="006C3AE3">
        <w:trPr>
          <w:tblHeader/>
        </w:trPr>
        <w:tc>
          <w:tcPr>
            <w:tcW w:w="2167" w:type="dxa"/>
            <w:gridSpan w:val="2"/>
          </w:tcPr>
          <w:p w:rsidR="00751EA3" w:rsidRPr="006D3969" w:rsidRDefault="00751EA3" w:rsidP="003C19AB">
            <w:pPr>
              <w:jc w:val="both"/>
              <w:rPr>
                <w:rFonts w:asciiTheme="majorHAnsi" w:hAnsiTheme="majorHAnsi" w:cs="Arial"/>
                <w:b/>
                <w:bCs/>
              </w:rPr>
            </w:pPr>
            <w:r w:rsidRPr="006D3969">
              <w:rPr>
                <w:rFonts w:asciiTheme="majorHAnsi" w:hAnsiTheme="majorHAnsi" w:cs="Arial"/>
                <w:b/>
                <w:bCs/>
              </w:rPr>
              <w:t>Key personnel</w:t>
            </w:r>
          </w:p>
        </w:tc>
        <w:tc>
          <w:tcPr>
            <w:tcW w:w="1800" w:type="dxa"/>
          </w:tcPr>
          <w:p w:rsidR="00751EA3" w:rsidRPr="006D3969" w:rsidRDefault="00751EA3" w:rsidP="003C19AB">
            <w:pPr>
              <w:rPr>
                <w:rFonts w:asciiTheme="majorHAnsi" w:hAnsiTheme="majorHAnsi" w:cs="Arial"/>
              </w:rPr>
            </w:pPr>
          </w:p>
        </w:tc>
        <w:tc>
          <w:tcPr>
            <w:tcW w:w="4140" w:type="dxa"/>
          </w:tcPr>
          <w:p w:rsidR="00751EA3" w:rsidRPr="006D3969" w:rsidRDefault="00751EA3" w:rsidP="003C19AB">
            <w:pPr>
              <w:rPr>
                <w:rFonts w:asciiTheme="majorHAnsi" w:hAnsiTheme="majorHAnsi" w:cs="Arial"/>
              </w:rPr>
            </w:pPr>
          </w:p>
        </w:tc>
        <w:tc>
          <w:tcPr>
            <w:tcW w:w="810" w:type="dxa"/>
          </w:tcPr>
          <w:p w:rsidR="00751EA3" w:rsidRPr="006D3969" w:rsidRDefault="00751EA3" w:rsidP="003C19AB">
            <w:pPr>
              <w:ind w:left="-720" w:firstLine="720"/>
              <w:jc w:val="center"/>
              <w:rPr>
                <w:rFonts w:asciiTheme="majorHAnsi" w:hAnsiTheme="majorHAnsi" w:cs="Arial"/>
              </w:rPr>
            </w:pPr>
          </w:p>
        </w:tc>
        <w:tc>
          <w:tcPr>
            <w:tcW w:w="1263" w:type="dxa"/>
          </w:tcPr>
          <w:p w:rsidR="00751EA3" w:rsidRPr="006D3969" w:rsidRDefault="00751EA3" w:rsidP="003C19AB">
            <w:pPr>
              <w:ind w:left="-720" w:firstLine="720"/>
              <w:jc w:val="center"/>
              <w:rPr>
                <w:rFonts w:asciiTheme="majorHAnsi" w:hAnsiTheme="majorHAnsi" w:cs="Arial"/>
              </w:rPr>
            </w:pPr>
          </w:p>
        </w:tc>
      </w:tr>
      <w:tr w:rsidR="009B0E37" w:rsidRPr="006D3969" w:rsidTr="006C3AE3">
        <w:trPr>
          <w:trHeight w:val="3194"/>
          <w:tblHeader/>
        </w:trPr>
        <w:tc>
          <w:tcPr>
            <w:tcW w:w="542" w:type="dxa"/>
          </w:tcPr>
          <w:p w:rsidR="009B0E37" w:rsidRPr="006D3969" w:rsidRDefault="009B0E37" w:rsidP="003C19AB">
            <w:pPr>
              <w:ind w:left="-720" w:firstLine="720"/>
              <w:jc w:val="center"/>
              <w:rPr>
                <w:rFonts w:asciiTheme="majorHAnsi" w:hAnsiTheme="majorHAnsi" w:cs="Arial"/>
              </w:rPr>
            </w:pPr>
            <w:r w:rsidRPr="006D3969">
              <w:rPr>
                <w:rFonts w:asciiTheme="majorHAnsi" w:hAnsiTheme="majorHAnsi" w:cs="Arial"/>
              </w:rPr>
              <w:t>1</w:t>
            </w:r>
          </w:p>
        </w:tc>
        <w:tc>
          <w:tcPr>
            <w:tcW w:w="1625" w:type="dxa"/>
          </w:tcPr>
          <w:p w:rsidR="009B0E37" w:rsidRPr="00CE248F" w:rsidRDefault="009B0E37" w:rsidP="002739D6">
            <w:pPr>
              <w:rPr>
                <w:rFonts w:cs="Arial"/>
              </w:rPr>
            </w:pPr>
            <w:r>
              <w:rPr>
                <w:rFonts w:cs="Arial"/>
              </w:rPr>
              <w:t xml:space="preserve"> Team leader</w:t>
            </w:r>
          </w:p>
        </w:tc>
        <w:tc>
          <w:tcPr>
            <w:tcW w:w="1800" w:type="dxa"/>
          </w:tcPr>
          <w:p w:rsidR="009B0E37" w:rsidRPr="00CE248F" w:rsidRDefault="009B0E37" w:rsidP="00946704">
            <w:pPr>
              <w:jc w:val="both"/>
              <w:rPr>
                <w:rFonts w:cs="Arial"/>
              </w:rPr>
            </w:pPr>
            <w:r w:rsidRPr="00CE248F">
              <w:rPr>
                <w:rFonts w:cs="Arial"/>
              </w:rPr>
              <w:t xml:space="preserve">Support the </w:t>
            </w:r>
            <w:r>
              <w:rPr>
                <w:rFonts w:cs="Arial"/>
              </w:rPr>
              <w:t>CFO/</w:t>
            </w:r>
            <w:r w:rsidRPr="00CE248F">
              <w:rPr>
                <w:rFonts w:cs="Arial"/>
              </w:rPr>
              <w:t xml:space="preserve">Deputy Director (Finance) so that Financial management aspects in the project are satisfactorily met. </w:t>
            </w:r>
          </w:p>
        </w:tc>
        <w:tc>
          <w:tcPr>
            <w:tcW w:w="4140" w:type="dxa"/>
          </w:tcPr>
          <w:p w:rsidR="009B0E37" w:rsidRPr="00CE248F" w:rsidRDefault="009B0E37" w:rsidP="0099536C">
            <w:pPr>
              <w:jc w:val="both"/>
              <w:rPr>
                <w:rFonts w:cs="Arial"/>
              </w:rPr>
            </w:pPr>
            <w:r w:rsidRPr="00CE248F">
              <w:rPr>
                <w:rFonts w:cs="Arial"/>
              </w:rPr>
              <w:t>Char</w:t>
            </w:r>
            <w:r>
              <w:rPr>
                <w:rFonts w:cs="Arial"/>
              </w:rPr>
              <w:t xml:space="preserve">tered Accountant with at least </w:t>
            </w:r>
            <w:r w:rsidR="0099536C">
              <w:rPr>
                <w:rFonts w:cs="Arial"/>
              </w:rPr>
              <w:t>08</w:t>
            </w:r>
            <w:r w:rsidRPr="00CE248F">
              <w:rPr>
                <w:rFonts w:cs="Arial"/>
              </w:rPr>
              <w:t xml:space="preserve"> years post-qualification experience; should have good working knowledge of installation of TALLY Accounting system; be proficient in usage of electronic spreadsheets, word processors; good knowledge of statutory and tax issues, internal control issues and banking arrangements.   Experience of financial management aspects in World Bank aided project is desirable.</w:t>
            </w:r>
          </w:p>
        </w:tc>
        <w:tc>
          <w:tcPr>
            <w:tcW w:w="810" w:type="dxa"/>
          </w:tcPr>
          <w:p w:rsidR="009B0E37" w:rsidRPr="006D3969" w:rsidRDefault="009B0E37" w:rsidP="003C19AB">
            <w:pPr>
              <w:ind w:left="-720" w:firstLine="720"/>
              <w:jc w:val="center"/>
              <w:rPr>
                <w:rFonts w:asciiTheme="majorHAnsi" w:hAnsiTheme="majorHAnsi" w:cs="Arial"/>
              </w:rPr>
            </w:pPr>
            <w:r w:rsidRPr="006D3969">
              <w:rPr>
                <w:rFonts w:asciiTheme="majorHAnsi" w:hAnsiTheme="majorHAnsi" w:cs="Arial"/>
              </w:rPr>
              <w:t>1</w:t>
            </w:r>
          </w:p>
        </w:tc>
        <w:tc>
          <w:tcPr>
            <w:tcW w:w="1263" w:type="dxa"/>
          </w:tcPr>
          <w:p w:rsidR="009B0E37" w:rsidRPr="006D3969" w:rsidRDefault="0099536C" w:rsidP="003C19AB">
            <w:pPr>
              <w:ind w:left="-720" w:firstLine="720"/>
              <w:jc w:val="center"/>
              <w:rPr>
                <w:rFonts w:asciiTheme="majorHAnsi" w:hAnsiTheme="majorHAnsi" w:cs="Arial"/>
              </w:rPr>
            </w:pPr>
            <w:r>
              <w:rPr>
                <w:rFonts w:asciiTheme="majorHAnsi" w:hAnsiTheme="majorHAnsi" w:cs="Arial"/>
              </w:rPr>
              <w:t>4</w:t>
            </w:r>
          </w:p>
        </w:tc>
      </w:tr>
      <w:tr w:rsidR="009B0E37" w:rsidRPr="006D3969" w:rsidTr="00FD43FC">
        <w:trPr>
          <w:trHeight w:val="3626"/>
          <w:tblHeader/>
        </w:trPr>
        <w:tc>
          <w:tcPr>
            <w:tcW w:w="542" w:type="dxa"/>
          </w:tcPr>
          <w:p w:rsidR="009B0E37" w:rsidRPr="006D3969" w:rsidRDefault="009B0E37" w:rsidP="003C19AB">
            <w:pPr>
              <w:ind w:left="-720" w:firstLine="720"/>
              <w:jc w:val="center"/>
              <w:rPr>
                <w:rFonts w:asciiTheme="majorHAnsi" w:hAnsiTheme="majorHAnsi" w:cs="Arial"/>
              </w:rPr>
            </w:pPr>
            <w:r w:rsidRPr="006D3969">
              <w:rPr>
                <w:rFonts w:asciiTheme="majorHAnsi" w:hAnsiTheme="majorHAnsi" w:cs="Arial"/>
              </w:rPr>
              <w:t>2</w:t>
            </w:r>
          </w:p>
        </w:tc>
        <w:tc>
          <w:tcPr>
            <w:tcW w:w="1625" w:type="dxa"/>
          </w:tcPr>
          <w:p w:rsidR="009B0E37" w:rsidRPr="006D3969" w:rsidRDefault="009B0E37" w:rsidP="003C19AB">
            <w:pPr>
              <w:rPr>
                <w:rFonts w:asciiTheme="majorHAnsi" w:hAnsiTheme="majorHAnsi" w:cs="Arial"/>
              </w:rPr>
            </w:pPr>
            <w:r w:rsidRPr="006D3969">
              <w:rPr>
                <w:rFonts w:asciiTheme="majorHAnsi" w:hAnsiTheme="majorHAnsi" w:cs="Arial"/>
              </w:rPr>
              <w:t xml:space="preserve">Financial Management Specialist </w:t>
            </w:r>
          </w:p>
        </w:tc>
        <w:tc>
          <w:tcPr>
            <w:tcW w:w="1800" w:type="dxa"/>
          </w:tcPr>
          <w:p w:rsidR="009B0E37" w:rsidRPr="006D3969" w:rsidRDefault="009B0E37" w:rsidP="003C19AB">
            <w:pPr>
              <w:rPr>
                <w:rFonts w:asciiTheme="majorHAnsi" w:hAnsiTheme="majorHAnsi" w:cs="Arial"/>
              </w:rPr>
            </w:pPr>
            <w:r w:rsidRPr="00CE248F">
              <w:rPr>
                <w:rFonts w:cs="Arial"/>
              </w:rPr>
              <w:t>Supp</w:t>
            </w:r>
            <w:r>
              <w:rPr>
                <w:rFonts w:cs="Arial"/>
              </w:rPr>
              <w:t>ort the Team Leader</w:t>
            </w:r>
          </w:p>
        </w:tc>
        <w:tc>
          <w:tcPr>
            <w:tcW w:w="4140" w:type="dxa"/>
          </w:tcPr>
          <w:p w:rsidR="009B0E37" w:rsidRPr="006D3969" w:rsidRDefault="009B0E37" w:rsidP="006C3AE3">
            <w:pPr>
              <w:jc w:val="both"/>
              <w:rPr>
                <w:rFonts w:asciiTheme="majorHAnsi" w:hAnsiTheme="majorHAnsi" w:cs="Arial"/>
              </w:rPr>
            </w:pPr>
            <w:r w:rsidRPr="006D3969">
              <w:rPr>
                <w:rFonts w:asciiTheme="majorHAnsi" w:hAnsiTheme="majorHAnsi" w:cs="Arial"/>
              </w:rPr>
              <w:t>Chartered Accountant with at least 3 years post-qualification experience; should have good working knowledge of installation of TALLY Accounting system; be proficient in usage of electronic spreadsheets, word processors; good knowledge of statutory and tax issues, internal control issues and banking arrangements.   Experience of financial management aspects in World Bank aided project is desirable.</w:t>
            </w:r>
          </w:p>
        </w:tc>
        <w:tc>
          <w:tcPr>
            <w:tcW w:w="810" w:type="dxa"/>
          </w:tcPr>
          <w:p w:rsidR="009B0E37" w:rsidRPr="006D3969" w:rsidRDefault="000927FE" w:rsidP="003C19AB">
            <w:pPr>
              <w:pStyle w:val="ListParagraph"/>
              <w:ind w:left="0" w:hanging="18"/>
              <w:jc w:val="center"/>
              <w:rPr>
                <w:rFonts w:asciiTheme="majorHAnsi" w:hAnsiTheme="majorHAnsi" w:cs="Arial"/>
              </w:rPr>
            </w:pPr>
            <w:r>
              <w:rPr>
                <w:rFonts w:asciiTheme="majorHAnsi" w:hAnsiTheme="majorHAnsi" w:cs="Arial"/>
              </w:rPr>
              <w:t>1</w:t>
            </w:r>
          </w:p>
        </w:tc>
        <w:tc>
          <w:tcPr>
            <w:tcW w:w="1263" w:type="dxa"/>
          </w:tcPr>
          <w:p w:rsidR="009B0E37" w:rsidRPr="006D3969" w:rsidRDefault="00E700E3" w:rsidP="0099536C">
            <w:pPr>
              <w:ind w:left="-720" w:firstLine="720"/>
              <w:jc w:val="center"/>
              <w:rPr>
                <w:rFonts w:asciiTheme="majorHAnsi" w:hAnsiTheme="majorHAnsi" w:cs="Arial"/>
              </w:rPr>
            </w:pPr>
            <w:r>
              <w:rPr>
                <w:rFonts w:asciiTheme="majorHAnsi" w:hAnsiTheme="majorHAnsi" w:cs="Arial"/>
              </w:rPr>
              <w:t>1</w:t>
            </w:r>
            <w:r w:rsidR="0099536C">
              <w:rPr>
                <w:rFonts w:asciiTheme="majorHAnsi" w:hAnsiTheme="majorHAnsi" w:cs="Arial"/>
              </w:rPr>
              <w:t>6</w:t>
            </w:r>
          </w:p>
        </w:tc>
      </w:tr>
      <w:tr w:rsidR="005E1B77" w:rsidRPr="006D3969" w:rsidTr="006C3AE3">
        <w:trPr>
          <w:tblHeader/>
        </w:trPr>
        <w:tc>
          <w:tcPr>
            <w:tcW w:w="542" w:type="dxa"/>
          </w:tcPr>
          <w:p w:rsidR="005E1B77" w:rsidRPr="006D3969" w:rsidRDefault="00C730B1" w:rsidP="002739D6">
            <w:pPr>
              <w:ind w:left="-720" w:firstLine="720"/>
              <w:jc w:val="center"/>
              <w:rPr>
                <w:rFonts w:asciiTheme="majorHAnsi" w:hAnsiTheme="majorHAnsi" w:cs="Arial"/>
              </w:rPr>
            </w:pPr>
            <w:r>
              <w:rPr>
                <w:rFonts w:asciiTheme="majorHAnsi" w:hAnsiTheme="majorHAnsi" w:cs="Arial"/>
              </w:rPr>
              <w:t>3</w:t>
            </w:r>
          </w:p>
        </w:tc>
        <w:tc>
          <w:tcPr>
            <w:tcW w:w="1625" w:type="dxa"/>
          </w:tcPr>
          <w:p w:rsidR="005E1B77" w:rsidRPr="00603089" w:rsidRDefault="0086083A" w:rsidP="002739D6">
            <w:pPr>
              <w:ind w:left="72"/>
              <w:jc w:val="both"/>
              <w:rPr>
                <w:rFonts w:cs="Arial"/>
              </w:rPr>
            </w:pPr>
            <w:r>
              <w:rPr>
                <w:rFonts w:cs="Arial"/>
              </w:rPr>
              <w:t>Team Member at state office</w:t>
            </w:r>
          </w:p>
        </w:tc>
        <w:tc>
          <w:tcPr>
            <w:tcW w:w="1800" w:type="dxa"/>
          </w:tcPr>
          <w:p w:rsidR="005E1B77" w:rsidRPr="00CE248F" w:rsidRDefault="005E1B77" w:rsidP="002739D6">
            <w:pPr>
              <w:rPr>
                <w:rFonts w:cs="Arial"/>
              </w:rPr>
            </w:pPr>
            <w:r w:rsidRPr="00CE248F">
              <w:rPr>
                <w:rFonts w:cs="Arial"/>
              </w:rPr>
              <w:t>Supp</w:t>
            </w:r>
            <w:r>
              <w:rPr>
                <w:rFonts w:cs="Arial"/>
              </w:rPr>
              <w:t>ort the Financial Management Specialist</w:t>
            </w:r>
            <w:r w:rsidRPr="00CE248F">
              <w:rPr>
                <w:rFonts w:cs="Arial"/>
              </w:rPr>
              <w:t xml:space="preserve"> </w:t>
            </w:r>
          </w:p>
        </w:tc>
        <w:tc>
          <w:tcPr>
            <w:tcW w:w="4140" w:type="dxa"/>
          </w:tcPr>
          <w:p w:rsidR="005E1B77" w:rsidRPr="00CE248F" w:rsidRDefault="005E1B77" w:rsidP="002739D6">
            <w:pPr>
              <w:rPr>
                <w:rFonts w:cs="Arial"/>
              </w:rPr>
            </w:pPr>
            <w:r>
              <w:rPr>
                <w:rFonts w:cs="Arial"/>
              </w:rPr>
              <w:t>CA (Inter)/CWA (Inter) with 2 years of experience; should have good working knowledge of TALLY Accounting system.</w:t>
            </w:r>
          </w:p>
        </w:tc>
        <w:tc>
          <w:tcPr>
            <w:tcW w:w="810" w:type="dxa"/>
          </w:tcPr>
          <w:p w:rsidR="005E1B77" w:rsidRPr="006D3969" w:rsidRDefault="000927FE" w:rsidP="002739D6">
            <w:pPr>
              <w:ind w:left="-720" w:firstLine="720"/>
              <w:jc w:val="center"/>
              <w:rPr>
                <w:rFonts w:asciiTheme="majorHAnsi" w:hAnsiTheme="majorHAnsi" w:cs="Arial"/>
              </w:rPr>
            </w:pPr>
            <w:r>
              <w:rPr>
                <w:rFonts w:asciiTheme="majorHAnsi" w:hAnsiTheme="majorHAnsi" w:cs="Arial"/>
              </w:rPr>
              <w:t>1</w:t>
            </w:r>
          </w:p>
        </w:tc>
        <w:tc>
          <w:tcPr>
            <w:tcW w:w="1263" w:type="dxa"/>
          </w:tcPr>
          <w:p w:rsidR="005E1B77" w:rsidRPr="006D3969" w:rsidRDefault="00E700E3" w:rsidP="0099536C">
            <w:pPr>
              <w:ind w:left="-720" w:firstLine="720"/>
              <w:jc w:val="center"/>
              <w:rPr>
                <w:rFonts w:asciiTheme="majorHAnsi" w:hAnsiTheme="majorHAnsi" w:cs="Arial"/>
              </w:rPr>
            </w:pPr>
            <w:r>
              <w:rPr>
                <w:rFonts w:asciiTheme="majorHAnsi" w:hAnsiTheme="majorHAnsi" w:cs="Arial"/>
              </w:rPr>
              <w:t>1</w:t>
            </w:r>
            <w:r w:rsidR="0099536C">
              <w:rPr>
                <w:rFonts w:asciiTheme="majorHAnsi" w:hAnsiTheme="majorHAnsi" w:cs="Arial"/>
              </w:rPr>
              <w:t>7</w:t>
            </w:r>
          </w:p>
        </w:tc>
      </w:tr>
      <w:tr w:rsidR="005E1B77" w:rsidRPr="006D3969" w:rsidTr="006C3AE3">
        <w:trPr>
          <w:tblHeader/>
        </w:trPr>
        <w:tc>
          <w:tcPr>
            <w:tcW w:w="2167" w:type="dxa"/>
            <w:gridSpan w:val="2"/>
          </w:tcPr>
          <w:p w:rsidR="005E1B77" w:rsidRPr="006D3969" w:rsidRDefault="005E1B77" w:rsidP="003C19AB">
            <w:pPr>
              <w:ind w:left="72"/>
              <w:jc w:val="both"/>
              <w:rPr>
                <w:rFonts w:asciiTheme="majorHAnsi" w:hAnsiTheme="majorHAnsi" w:cs="Arial"/>
                <w:b/>
                <w:bCs/>
              </w:rPr>
            </w:pPr>
            <w:r w:rsidRPr="006D3969">
              <w:rPr>
                <w:rFonts w:asciiTheme="majorHAnsi" w:hAnsiTheme="majorHAnsi" w:cs="Arial"/>
                <w:b/>
                <w:bCs/>
              </w:rPr>
              <w:t>Support Staff</w:t>
            </w:r>
          </w:p>
        </w:tc>
        <w:tc>
          <w:tcPr>
            <w:tcW w:w="1800" w:type="dxa"/>
          </w:tcPr>
          <w:p w:rsidR="005E1B77" w:rsidRPr="006D3969" w:rsidRDefault="005E1B77" w:rsidP="003C19AB">
            <w:pPr>
              <w:rPr>
                <w:rFonts w:asciiTheme="majorHAnsi" w:hAnsiTheme="majorHAnsi" w:cs="Arial"/>
              </w:rPr>
            </w:pPr>
          </w:p>
        </w:tc>
        <w:tc>
          <w:tcPr>
            <w:tcW w:w="4140" w:type="dxa"/>
          </w:tcPr>
          <w:p w:rsidR="005E1B77" w:rsidRPr="006D3969" w:rsidRDefault="005E1B77" w:rsidP="003C19AB">
            <w:pPr>
              <w:rPr>
                <w:rFonts w:asciiTheme="majorHAnsi" w:hAnsiTheme="majorHAnsi" w:cs="Arial"/>
              </w:rPr>
            </w:pPr>
          </w:p>
        </w:tc>
        <w:tc>
          <w:tcPr>
            <w:tcW w:w="810" w:type="dxa"/>
          </w:tcPr>
          <w:p w:rsidR="005E1B77" w:rsidRPr="006D3969" w:rsidRDefault="005E1B77" w:rsidP="003C19AB">
            <w:pPr>
              <w:rPr>
                <w:rFonts w:asciiTheme="majorHAnsi" w:hAnsiTheme="majorHAnsi" w:cs="Arial"/>
              </w:rPr>
            </w:pPr>
          </w:p>
        </w:tc>
        <w:tc>
          <w:tcPr>
            <w:tcW w:w="1263" w:type="dxa"/>
          </w:tcPr>
          <w:p w:rsidR="005E1B77" w:rsidRPr="006D3969" w:rsidRDefault="005E1B77" w:rsidP="003C19AB">
            <w:pPr>
              <w:ind w:left="-720" w:firstLine="720"/>
              <w:jc w:val="center"/>
              <w:rPr>
                <w:rFonts w:asciiTheme="majorHAnsi" w:hAnsiTheme="majorHAnsi" w:cs="Arial"/>
              </w:rPr>
            </w:pPr>
          </w:p>
        </w:tc>
      </w:tr>
      <w:tr w:rsidR="005E1B77" w:rsidRPr="006D3969" w:rsidTr="006C3AE3">
        <w:trPr>
          <w:tblHeader/>
        </w:trPr>
        <w:tc>
          <w:tcPr>
            <w:tcW w:w="542" w:type="dxa"/>
          </w:tcPr>
          <w:p w:rsidR="005E1B77" w:rsidRDefault="006C3AE3" w:rsidP="002739D6">
            <w:pPr>
              <w:ind w:left="-720" w:firstLine="720"/>
              <w:jc w:val="center"/>
              <w:rPr>
                <w:rFonts w:asciiTheme="majorHAnsi" w:hAnsiTheme="majorHAnsi" w:cs="Arial"/>
              </w:rPr>
            </w:pPr>
            <w:r>
              <w:rPr>
                <w:rFonts w:asciiTheme="majorHAnsi" w:hAnsiTheme="majorHAnsi" w:cs="Arial"/>
              </w:rPr>
              <w:t>4</w:t>
            </w:r>
          </w:p>
        </w:tc>
        <w:tc>
          <w:tcPr>
            <w:tcW w:w="1625" w:type="dxa"/>
          </w:tcPr>
          <w:p w:rsidR="005E1B77" w:rsidRPr="00CE248F" w:rsidRDefault="0088108E" w:rsidP="006C3AE3">
            <w:pPr>
              <w:ind w:left="72"/>
              <w:jc w:val="both"/>
              <w:rPr>
                <w:rFonts w:cs="Arial"/>
              </w:rPr>
            </w:pPr>
            <w:r>
              <w:rPr>
                <w:rFonts w:cs="Arial"/>
              </w:rPr>
              <w:t>Team Member/</w:t>
            </w:r>
            <w:r w:rsidR="006C3AE3">
              <w:rPr>
                <w:rFonts w:cs="Arial"/>
              </w:rPr>
              <w:t xml:space="preserve"> Accountant</w:t>
            </w:r>
            <w:r w:rsidR="00FE7849">
              <w:rPr>
                <w:rFonts w:cs="Arial"/>
              </w:rPr>
              <w:t xml:space="preserve"> </w:t>
            </w:r>
            <w:r w:rsidR="006C3AE3">
              <w:rPr>
                <w:rFonts w:cs="Arial"/>
              </w:rPr>
              <w:t xml:space="preserve">at SPMU </w:t>
            </w:r>
          </w:p>
        </w:tc>
        <w:tc>
          <w:tcPr>
            <w:tcW w:w="1800" w:type="dxa"/>
          </w:tcPr>
          <w:p w:rsidR="005E1B77" w:rsidRPr="00CE248F" w:rsidRDefault="005E1B77" w:rsidP="002739D6">
            <w:pPr>
              <w:rPr>
                <w:rFonts w:cs="Arial"/>
              </w:rPr>
            </w:pPr>
            <w:r w:rsidRPr="00CE248F">
              <w:rPr>
                <w:rFonts w:cs="Arial"/>
              </w:rPr>
              <w:t xml:space="preserve">To ensure that the TALLY accounting system is  satisfactorily operated and generate periodic financial reports  </w:t>
            </w:r>
          </w:p>
        </w:tc>
        <w:tc>
          <w:tcPr>
            <w:tcW w:w="4140" w:type="dxa"/>
          </w:tcPr>
          <w:p w:rsidR="005E1B77" w:rsidRPr="00CE248F" w:rsidRDefault="005E1B77" w:rsidP="002739D6">
            <w:pPr>
              <w:pStyle w:val="ListParagraph"/>
              <w:ind w:left="0" w:hanging="18"/>
              <w:jc w:val="both"/>
              <w:rPr>
                <w:rFonts w:cs="Arial"/>
              </w:rPr>
            </w:pPr>
            <w:r w:rsidRPr="00CE248F">
              <w:rPr>
                <w:rFonts w:cs="Arial"/>
              </w:rPr>
              <w:t xml:space="preserve"> B.com /M.com with 2 year experience in accounting and banking arrangements. Should have good working knowledge of the operation of TALLY Accounting systems; and be proficient in usage of electronic spreadsheets, word processors.</w:t>
            </w:r>
          </w:p>
        </w:tc>
        <w:tc>
          <w:tcPr>
            <w:tcW w:w="810" w:type="dxa"/>
          </w:tcPr>
          <w:p w:rsidR="005E1B77" w:rsidRPr="006D3969" w:rsidRDefault="006C3AE3" w:rsidP="002739D6">
            <w:pPr>
              <w:ind w:left="-720" w:firstLine="720"/>
              <w:jc w:val="center"/>
              <w:rPr>
                <w:rFonts w:asciiTheme="majorHAnsi" w:hAnsiTheme="majorHAnsi" w:cs="Arial"/>
              </w:rPr>
            </w:pPr>
            <w:r>
              <w:rPr>
                <w:rFonts w:asciiTheme="majorHAnsi" w:hAnsiTheme="majorHAnsi" w:cs="Arial"/>
              </w:rPr>
              <w:t>2</w:t>
            </w:r>
          </w:p>
        </w:tc>
        <w:tc>
          <w:tcPr>
            <w:tcW w:w="1263" w:type="dxa"/>
          </w:tcPr>
          <w:p w:rsidR="005E1B77" w:rsidRDefault="000927FE" w:rsidP="002739D6">
            <w:pPr>
              <w:ind w:left="-720" w:firstLine="720"/>
              <w:jc w:val="center"/>
              <w:rPr>
                <w:rFonts w:asciiTheme="majorHAnsi" w:hAnsiTheme="majorHAnsi" w:cs="Arial"/>
              </w:rPr>
            </w:pPr>
            <w:r>
              <w:rPr>
                <w:rFonts w:asciiTheme="majorHAnsi" w:hAnsiTheme="majorHAnsi" w:cs="Arial"/>
              </w:rPr>
              <w:t>4</w:t>
            </w:r>
            <w:r w:rsidR="0088108E">
              <w:rPr>
                <w:rFonts w:asciiTheme="majorHAnsi" w:hAnsiTheme="majorHAnsi" w:cs="Arial"/>
              </w:rPr>
              <w:t>8</w:t>
            </w:r>
          </w:p>
          <w:p w:rsidR="005E1B77" w:rsidRDefault="005E1B77" w:rsidP="002739D6">
            <w:pPr>
              <w:ind w:left="-720" w:firstLine="720"/>
              <w:jc w:val="center"/>
              <w:rPr>
                <w:rFonts w:asciiTheme="majorHAnsi" w:hAnsiTheme="majorHAnsi" w:cs="Arial"/>
              </w:rPr>
            </w:pPr>
          </w:p>
          <w:p w:rsidR="005E1B77" w:rsidRPr="006D3969" w:rsidRDefault="005E1B77" w:rsidP="002739D6">
            <w:pPr>
              <w:ind w:left="-720" w:firstLine="720"/>
              <w:jc w:val="center"/>
              <w:rPr>
                <w:rFonts w:asciiTheme="majorHAnsi" w:hAnsiTheme="majorHAnsi" w:cs="Arial"/>
              </w:rPr>
            </w:pPr>
          </w:p>
        </w:tc>
      </w:tr>
    </w:tbl>
    <w:p w:rsidR="00EE2B01" w:rsidRPr="006D3969" w:rsidRDefault="00EE2B01" w:rsidP="00751EA3">
      <w:pPr>
        <w:rPr>
          <w:rFonts w:asciiTheme="majorHAnsi" w:hAnsiTheme="majorHAnsi"/>
          <w:b/>
          <w:bCs/>
        </w:rPr>
      </w:pPr>
      <w:r w:rsidRPr="006D3969">
        <w:rPr>
          <w:rFonts w:asciiTheme="majorHAnsi" w:hAnsiTheme="majorHAnsi"/>
          <w:b/>
          <w:bCs/>
          <w:sz w:val="26"/>
          <w:szCs w:val="26"/>
        </w:rPr>
        <w:t>6.0</w:t>
      </w:r>
      <w:r w:rsidRPr="006D3969">
        <w:rPr>
          <w:rFonts w:asciiTheme="majorHAnsi" w:hAnsiTheme="majorHAnsi"/>
          <w:sz w:val="26"/>
          <w:szCs w:val="26"/>
        </w:rPr>
        <w:t xml:space="preserve"> </w:t>
      </w:r>
      <w:r w:rsidR="000121DC" w:rsidRPr="006D3969">
        <w:rPr>
          <w:rFonts w:asciiTheme="majorHAnsi" w:hAnsiTheme="majorHAnsi"/>
        </w:rPr>
        <w:tab/>
      </w:r>
      <w:r w:rsidR="000121DC" w:rsidRPr="006D3969">
        <w:rPr>
          <w:rFonts w:asciiTheme="majorHAnsi" w:hAnsiTheme="majorHAnsi"/>
          <w:b/>
          <w:bCs/>
        </w:rPr>
        <w:t>SERVICES TO BE PROVIDED BY THE CLIENT</w:t>
      </w:r>
      <w:bookmarkEnd w:id="6"/>
    </w:p>
    <w:p w:rsidR="00751EA3" w:rsidRPr="00FE7849" w:rsidRDefault="00751EA3" w:rsidP="00751EA3">
      <w:pPr>
        <w:pStyle w:val="ListParagraph"/>
        <w:ind w:left="0"/>
        <w:jc w:val="both"/>
        <w:rPr>
          <w:rFonts w:asciiTheme="majorHAnsi" w:hAnsiTheme="majorHAnsi"/>
          <w:sz w:val="16"/>
          <w:szCs w:val="16"/>
        </w:rPr>
      </w:pPr>
    </w:p>
    <w:p w:rsidR="003E5769" w:rsidRDefault="00EE2B01" w:rsidP="003E5769">
      <w:pPr>
        <w:pStyle w:val="ListParagraph"/>
        <w:ind w:left="709"/>
        <w:jc w:val="both"/>
        <w:rPr>
          <w:rFonts w:asciiTheme="majorHAnsi" w:hAnsiTheme="majorHAnsi" w:cs="Arial"/>
        </w:rPr>
      </w:pPr>
      <w:r w:rsidRPr="006D3969">
        <w:rPr>
          <w:rFonts w:asciiTheme="majorHAnsi" w:hAnsiTheme="majorHAnsi"/>
        </w:rPr>
        <w:t xml:space="preserve">The Consultant will be provided access to all such information as is necessary to execute the assignment.  </w:t>
      </w:r>
      <w:r w:rsidR="00751EA3" w:rsidRPr="006D3969">
        <w:rPr>
          <w:rFonts w:asciiTheme="majorHAnsi" w:hAnsiTheme="majorHAnsi" w:cs="Arial"/>
        </w:rPr>
        <w:t xml:space="preserve">The consultant’s personnel would be based/ located in the BAPEPS office at Patna, and would make field visits to all the project offices and </w:t>
      </w:r>
      <w:r w:rsidR="00751EA3" w:rsidRPr="006D3969">
        <w:rPr>
          <w:rFonts w:asciiTheme="majorHAnsi" w:hAnsiTheme="majorHAnsi" w:cs="Arial"/>
        </w:rPr>
        <w:lastRenderedPageBreak/>
        <w:t>IAs as needed.  The client would provide the necessary office space to the consultants.</w:t>
      </w:r>
    </w:p>
    <w:p w:rsidR="003E5769" w:rsidRPr="00FE7849" w:rsidRDefault="003E5769" w:rsidP="003E5769">
      <w:pPr>
        <w:pStyle w:val="ListParagraph"/>
        <w:ind w:left="709"/>
        <w:jc w:val="both"/>
        <w:rPr>
          <w:rFonts w:asciiTheme="majorHAnsi" w:hAnsiTheme="majorHAnsi" w:cs="Arial"/>
          <w:sz w:val="18"/>
          <w:szCs w:val="18"/>
        </w:rPr>
      </w:pPr>
    </w:p>
    <w:p w:rsidR="003E5769" w:rsidRDefault="003E5769" w:rsidP="003E5769">
      <w:pPr>
        <w:jc w:val="both"/>
        <w:rPr>
          <w:rFonts w:asciiTheme="majorHAnsi" w:hAnsiTheme="majorHAnsi"/>
          <w:b/>
          <w:bCs/>
          <w:u w:val="single"/>
        </w:rPr>
      </w:pPr>
      <w:r w:rsidRPr="003E5769">
        <w:rPr>
          <w:rFonts w:asciiTheme="majorHAnsi" w:hAnsiTheme="majorHAnsi"/>
          <w:b/>
          <w:bCs/>
        </w:rPr>
        <w:t>7.0</w:t>
      </w:r>
      <w:r w:rsidRPr="003E5769">
        <w:rPr>
          <w:rFonts w:asciiTheme="majorHAnsi" w:hAnsiTheme="majorHAnsi"/>
          <w:b/>
          <w:bCs/>
        </w:rPr>
        <w:tab/>
      </w:r>
      <w:r w:rsidRPr="003E5769">
        <w:rPr>
          <w:rFonts w:asciiTheme="majorHAnsi" w:hAnsiTheme="majorHAnsi"/>
          <w:b/>
          <w:bCs/>
          <w:u w:val="single"/>
        </w:rPr>
        <w:t>SCHEDULE OF PAYMENTS</w:t>
      </w:r>
    </w:p>
    <w:p w:rsidR="003E5769" w:rsidRPr="003E5769" w:rsidRDefault="003E5769" w:rsidP="003E5769">
      <w:pPr>
        <w:jc w:val="both"/>
        <w:rPr>
          <w:rFonts w:asciiTheme="majorHAnsi" w:hAnsiTheme="majorHAnsi" w:cs="Arial"/>
          <w:sz w:val="14"/>
          <w:szCs w:val="14"/>
        </w:rPr>
      </w:pPr>
    </w:p>
    <w:p w:rsidR="003E5769" w:rsidRDefault="003E5769" w:rsidP="003E5769">
      <w:pPr>
        <w:keepNext/>
        <w:keepLines/>
        <w:spacing w:after="200"/>
        <w:jc w:val="both"/>
        <w:rPr>
          <w:rFonts w:asciiTheme="majorHAnsi" w:hAnsiTheme="majorHAnsi"/>
        </w:rPr>
      </w:pPr>
      <w:r>
        <w:rPr>
          <w:rFonts w:asciiTheme="majorHAnsi" w:hAnsiTheme="majorHAnsi"/>
        </w:rPr>
        <w:tab/>
        <w:t xml:space="preserve">The schedule of payments </w:t>
      </w:r>
      <w:r w:rsidR="00401127">
        <w:rPr>
          <w:rFonts w:asciiTheme="majorHAnsi" w:hAnsiTheme="majorHAnsi"/>
        </w:rPr>
        <w:t>will be</w:t>
      </w:r>
      <w:r w:rsidR="004C20BC">
        <w:rPr>
          <w:rFonts w:asciiTheme="majorHAnsi" w:hAnsiTheme="majorHAnsi"/>
        </w:rPr>
        <w:t xml:space="preserve"> deliverable based</w:t>
      </w:r>
      <w:r w:rsidR="00A05D63">
        <w:rPr>
          <w:rFonts w:asciiTheme="majorHAnsi" w:hAnsiTheme="majorHAnsi"/>
        </w:rPr>
        <w:t>,</w:t>
      </w:r>
      <w:r w:rsidR="004C20BC">
        <w:rPr>
          <w:rFonts w:asciiTheme="majorHAnsi" w:hAnsiTheme="majorHAnsi"/>
        </w:rPr>
        <w:t xml:space="preserve"> as</w:t>
      </w:r>
      <w:r>
        <w:rPr>
          <w:rFonts w:asciiTheme="majorHAnsi" w:hAnsiTheme="majorHAnsi"/>
        </w:rPr>
        <w:t xml:space="preserve"> specified below :-</w:t>
      </w:r>
    </w:p>
    <w:tbl>
      <w:tblPr>
        <w:tblStyle w:val="TableGrid"/>
        <w:tblW w:w="9423" w:type="dxa"/>
        <w:tblLook w:val="04A0"/>
      </w:tblPr>
      <w:tblGrid>
        <w:gridCol w:w="566"/>
        <w:gridCol w:w="5664"/>
        <w:gridCol w:w="3193"/>
      </w:tblGrid>
      <w:tr w:rsidR="00A23035" w:rsidTr="00A23035">
        <w:tc>
          <w:tcPr>
            <w:tcW w:w="566" w:type="dxa"/>
            <w:tcBorders>
              <w:top w:val="single" w:sz="4" w:space="0" w:color="auto"/>
              <w:left w:val="single" w:sz="4" w:space="0" w:color="auto"/>
              <w:bottom w:val="single" w:sz="4" w:space="0" w:color="auto"/>
              <w:right w:val="single" w:sz="4" w:space="0" w:color="auto"/>
            </w:tcBorders>
            <w:vAlign w:val="center"/>
            <w:hideMark/>
          </w:tcPr>
          <w:p w:rsidR="00A23035" w:rsidRDefault="00A23035">
            <w:pPr>
              <w:jc w:val="center"/>
              <w:rPr>
                <w:rFonts w:asciiTheme="majorHAnsi" w:hAnsiTheme="majorHAnsi"/>
                <w:b/>
              </w:rPr>
            </w:pPr>
            <w:r>
              <w:rPr>
                <w:rFonts w:asciiTheme="majorHAnsi" w:hAnsiTheme="majorHAnsi"/>
                <w:b/>
              </w:rPr>
              <w:t>Sl. No.</w:t>
            </w:r>
          </w:p>
        </w:tc>
        <w:tc>
          <w:tcPr>
            <w:tcW w:w="5664" w:type="dxa"/>
            <w:tcBorders>
              <w:top w:val="single" w:sz="4" w:space="0" w:color="auto"/>
              <w:left w:val="single" w:sz="4" w:space="0" w:color="auto"/>
              <w:bottom w:val="single" w:sz="4" w:space="0" w:color="auto"/>
              <w:right w:val="single" w:sz="4" w:space="0" w:color="auto"/>
            </w:tcBorders>
            <w:vAlign w:val="center"/>
            <w:hideMark/>
          </w:tcPr>
          <w:p w:rsidR="00A23035" w:rsidRDefault="00A23035">
            <w:pPr>
              <w:jc w:val="center"/>
              <w:rPr>
                <w:rFonts w:asciiTheme="majorHAnsi" w:hAnsiTheme="majorHAnsi"/>
                <w:b/>
              </w:rPr>
            </w:pPr>
            <w:r>
              <w:rPr>
                <w:rFonts w:asciiTheme="majorHAnsi" w:hAnsiTheme="majorHAnsi"/>
                <w:b/>
              </w:rPr>
              <w:t>Output</w:t>
            </w:r>
          </w:p>
        </w:tc>
        <w:tc>
          <w:tcPr>
            <w:tcW w:w="3193" w:type="dxa"/>
            <w:tcBorders>
              <w:top w:val="single" w:sz="4" w:space="0" w:color="auto"/>
              <w:left w:val="single" w:sz="4" w:space="0" w:color="auto"/>
              <w:bottom w:val="single" w:sz="4" w:space="0" w:color="auto"/>
              <w:right w:val="single" w:sz="4" w:space="0" w:color="auto"/>
            </w:tcBorders>
            <w:vAlign w:val="center"/>
            <w:hideMark/>
          </w:tcPr>
          <w:p w:rsidR="00A23035" w:rsidRDefault="00A23035">
            <w:pPr>
              <w:jc w:val="center"/>
              <w:rPr>
                <w:rFonts w:asciiTheme="majorHAnsi" w:hAnsiTheme="majorHAnsi"/>
                <w:b/>
              </w:rPr>
            </w:pPr>
            <w:r>
              <w:rPr>
                <w:rFonts w:asciiTheme="majorHAnsi" w:hAnsiTheme="majorHAnsi"/>
                <w:b/>
              </w:rPr>
              <w:t>Payment% of contract value</w:t>
            </w:r>
          </w:p>
        </w:tc>
      </w:tr>
      <w:tr w:rsidR="00A23035" w:rsidTr="00A23035">
        <w:trPr>
          <w:trHeight w:val="701"/>
        </w:trPr>
        <w:tc>
          <w:tcPr>
            <w:tcW w:w="566" w:type="dxa"/>
            <w:tcBorders>
              <w:top w:val="single" w:sz="4" w:space="0" w:color="auto"/>
              <w:left w:val="single" w:sz="4" w:space="0" w:color="auto"/>
              <w:bottom w:val="single" w:sz="4" w:space="0" w:color="auto"/>
              <w:right w:val="single" w:sz="4" w:space="0" w:color="auto"/>
            </w:tcBorders>
            <w:vAlign w:val="center"/>
            <w:hideMark/>
          </w:tcPr>
          <w:p w:rsidR="00A23035" w:rsidRDefault="00A23035">
            <w:pPr>
              <w:spacing w:after="240"/>
              <w:jc w:val="center"/>
              <w:rPr>
                <w:rFonts w:asciiTheme="majorHAnsi" w:hAnsiTheme="majorHAnsi"/>
              </w:rPr>
            </w:pPr>
            <w:r>
              <w:rPr>
                <w:rFonts w:asciiTheme="majorHAnsi" w:hAnsiTheme="majorHAnsi"/>
              </w:rPr>
              <w:t>1</w:t>
            </w:r>
          </w:p>
        </w:tc>
        <w:tc>
          <w:tcPr>
            <w:tcW w:w="5664" w:type="dxa"/>
            <w:tcBorders>
              <w:top w:val="single" w:sz="4" w:space="0" w:color="auto"/>
              <w:left w:val="single" w:sz="4" w:space="0" w:color="auto"/>
              <w:bottom w:val="single" w:sz="4" w:space="0" w:color="auto"/>
              <w:right w:val="single" w:sz="4" w:space="0" w:color="auto"/>
            </w:tcBorders>
            <w:vAlign w:val="center"/>
            <w:hideMark/>
          </w:tcPr>
          <w:p w:rsidR="00A23035" w:rsidRDefault="00A23035" w:rsidP="008F1D21">
            <w:pPr>
              <w:rPr>
                <w:rFonts w:asciiTheme="majorHAnsi" w:hAnsiTheme="majorHAnsi"/>
              </w:rPr>
            </w:pPr>
            <w:r>
              <w:rPr>
                <w:rFonts w:asciiTheme="majorHAnsi" w:hAnsiTheme="majorHAnsi"/>
                <w:color w:val="000000"/>
                <w:lang w:eastAsia="en-IN"/>
              </w:rPr>
              <w:t>Quarterly deliverables     - points 1,2,3,4,6,10 &amp;11  as per Para  9.0 (given below)</w:t>
            </w:r>
          </w:p>
        </w:tc>
        <w:tc>
          <w:tcPr>
            <w:tcW w:w="3193" w:type="dxa"/>
            <w:tcBorders>
              <w:top w:val="single" w:sz="4" w:space="0" w:color="auto"/>
              <w:left w:val="single" w:sz="4" w:space="0" w:color="auto"/>
              <w:bottom w:val="single" w:sz="4" w:space="0" w:color="auto"/>
              <w:right w:val="single" w:sz="4" w:space="0" w:color="auto"/>
            </w:tcBorders>
            <w:vAlign w:val="center"/>
            <w:hideMark/>
          </w:tcPr>
          <w:p w:rsidR="00A23035" w:rsidRDefault="00A23035">
            <w:pPr>
              <w:rPr>
                <w:rFonts w:asciiTheme="majorHAnsi" w:hAnsiTheme="majorHAnsi"/>
              </w:rPr>
            </w:pPr>
            <w:r>
              <w:rPr>
                <w:rFonts w:asciiTheme="majorHAnsi" w:hAnsiTheme="majorHAnsi"/>
              </w:rPr>
              <w:t xml:space="preserve">7.5%  </w:t>
            </w:r>
            <w:r>
              <w:rPr>
                <w:rFonts w:asciiTheme="majorHAnsi" w:hAnsiTheme="majorHAnsi"/>
                <w:b/>
                <w:bCs/>
              </w:rPr>
              <w:t>X</w:t>
            </w:r>
            <w:r>
              <w:rPr>
                <w:rFonts w:asciiTheme="majorHAnsi" w:hAnsiTheme="majorHAnsi"/>
              </w:rPr>
              <w:t xml:space="preserve"> 8 = 60%</w:t>
            </w:r>
          </w:p>
          <w:p w:rsidR="00A23035" w:rsidRDefault="00A23035">
            <w:pPr>
              <w:rPr>
                <w:rFonts w:asciiTheme="majorHAnsi" w:hAnsiTheme="majorHAnsi"/>
              </w:rPr>
            </w:pPr>
            <w:r>
              <w:rPr>
                <w:rFonts w:asciiTheme="majorHAnsi" w:hAnsiTheme="majorHAnsi"/>
              </w:rPr>
              <w:t>(8 installment)</w:t>
            </w:r>
          </w:p>
        </w:tc>
      </w:tr>
      <w:tr w:rsidR="00A23035" w:rsidTr="00A23035">
        <w:trPr>
          <w:trHeight w:val="611"/>
        </w:trPr>
        <w:tc>
          <w:tcPr>
            <w:tcW w:w="566" w:type="dxa"/>
            <w:tcBorders>
              <w:top w:val="single" w:sz="4" w:space="0" w:color="auto"/>
              <w:left w:val="single" w:sz="4" w:space="0" w:color="auto"/>
              <w:bottom w:val="single" w:sz="4" w:space="0" w:color="auto"/>
              <w:right w:val="single" w:sz="4" w:space="0" w:color="auto"/>
            </w:tcBorders>
            <w:vAlign w:val="center"/>
            <w:hideMark/>
          </w:tcPr>
          <w:p w:rsidR="00A23035" w:rsidRDefault="00A23035">
            <w:pPr>
              <w:jc w:val="center"/>
              <w:rPr>
                <w:rFonts w:asciiTheme="majorHAnsi" w:hAnsiTheme="majorHAnsi"/>
              </w:rPr>
            </w:pPr>
            <w:r>
              <w:rPr>
                <w:rFonts w:asciiTheme="majorHAnsi" w:hAnsiTheme="majorHAnsi"/>
              </w:rPr>
              <w:t>2</w:t>
            </w:r>
          </w:p>
        </w:tc>
        <w:tc>
          <w:tcPr>
            <w:tcW w:w="5664" w:type="dxa"/>
            <w:tcBorders>
              <w:top w:val="single" w:sz="4" w:space="0" w:color="auto"/>
              <w:left w:val="single" w:sz="4" w:space="0" w:color="auto"/>
              <w:bottom w:val="single" w:sz="4" w:space="0" w:color="auto"/>
              <w:right w:val="single" w:sz="4" w:space="0" w:color="auto"/>
            </w:tcBorders>
            <w:vAlign w:val="center"/>
            <w:hideMark/>
          </w:tcPr>
          <w:p w:rsidR="00A23035" w:rsidRDefault="00A23035">
            <w:pPr>
              <w:rPr>
                <w:rFonts w:asciiTheme="majorHAnsi" w:hAnsiTheme="majorHAnsi"/>
                <w:color w:val="000000"/>
                <w:lang w:eastAsia="en-IN"/>
              </w:rPr>
            </w:pPr>
            <w:r>
              <w:rPr>
                <w:rFonts w:asciiTheme="majorHAnsi" w:hAnsiTheme="majorHAnsi"/>
                <w:color w:val="000000"/>
                <w:lang w:eastAsia="en-IN"/>
              </w:rPr>
              <w:t>Annual deliverables - points 5,7,8 and 13 (accounts related) of Para 9.0 (given below)</w:t>
            </w:r>
          </w:p>
        </w:tc>
        <w:tc>
          <w:tcPr>
            <w:tcW w:w="3193" w:type="dxa"/>
            <w:tcBorders>
              <w:top w:val="single" w:sz="4" w:space="0" w:color="auto"/>
              <w:left w:val="single" w:sz="4" w:space="0" w:color="auto"/>
              <w:bottom w:val="single" w:sz="4" w:space="0" w:color="auto"/>
              <w:right w:val="single" w:sz="4" w:space="0" w:color="auto"/>
            </w:tcBorders>
            <w:vAlign w:val="center"/>
            <w:hideMark/>
          </w:tcPr>
          <w:p w:rsidR="00A23035" w:rsidRDefault="00A23035" w:rsidP="00A23035">
            <w:pPr>
              <w:rPr>
                <w:rFonts w:asciiTheme="majorHAnsi" w:hAnsiTheme="majorHAnsi"/>
              </w:rPr>
            </w:pPr>
            <w:r>
              <w:rPr>
                <w:rFonts w:asciiTheme="majorHAnsi" w:hAnsiTheme="majorHAnsi"/>
              </w:rPr>
              <w:t>7.5% X 2 = 15%</w:t>
            </w:r>
          </w:p>
          <w:p w:rsidR="00A23035" w:rsidRDefault="00A23035" w:rsidP="00A23035">
            <w:pPr>
              <w:rPr>
                <w:rFonts w:asciiTheme="majorHAnsi" w:hAnsiTheme="majorHAnsi"/>
              </w:rPr>
            </w:pPr>
            <w:r>
              <w:rPr>
                <w:rFonts w:asciiTheme="majorHAnsi" w:hAnsiTheme="majorHAnsi"/>
              </w:rPr>
              <w:t>(2 installment)</w:t>
            </w:r>
          </w:p>
        </w:tc>
      </w:tr>
      <w:tr w:rsidR="00A23035" w:rsidTr="00A23035">
        <w:trPr>
          <w:trHeight w:val="629"/>
        </w:trPr>
        <w:tc>
          <w:tcPr>
            <w:tcW w:w="566" w:type="dxa"/>
            <w:tcBorders>
              <w:top w:val="single" w:sz="4" w:space="0" w:color="auto"/>
              <w:left w:val="single" w:sz="4" w:space="0" w:color="auto"/>
              <w:bottom w:val="single" w:sz="4" w:space="0" w:color="auto"/>
              <w:right w:val="single" w:sz="4" w:space="0" w:color="auto"/>
            </w:tcBorders>
            <w:vAlign w:val="center"/>
            <w:hideMark/>
          </w:tcPr>
          <w:p w:rsidR="00A23035" w:rsidRDefault="00A23035">
            <w:pPr>
              <w:jc w:val="center"/>
              <w:rPr>
                <w:rFonts w:asciiTheme="majorHAnsi" w:hAnsiTheme="majorHAnsi"/>
              </w:rPr>
            </w:pPr>
            <w:r>
              <w:rPr>
                <w:rFonts w:asciiTheme="majorHAnsi" w:hAnsiTheme="majorHAnsi"/>
              </w:rPr>
              <w:t>3</w:t>
            </w:r>
          </w:p>
        </w:tc>
        <w:tc>
          <w:tcPr>
            <w:tcW w:w="5664" w:type="dxa"/>
            <w:tcBorders>
              <w:top w:val="single" w:sz="4" w:space="0" w:color="auto"/>
              <w:left w:val="single" w:sz="4" w:space="0" w:color="auto"/>
              <w:bottom w:val="single" w:sz="4" w:space="0" w:color="auto"/>
              <w:right w:val="single" w:sz="4" w:space="0" w:color="auto"/>
            </w:tcBorders>
            <w:vAlign w:val="center"/>
            <w:hideMark/>
          </w:tcPr>
          <w:p w:rsidR="00A23035" w:rsidRDefault="00A23035" w:rsidP="00E94F3F">
            <w:pPr>
              <w:rPr>
                <w:rFonts w:asciiTheme="majorHAnsi" w:hAnsiTheme="majorHAnsi"/>
              </w:rPr>
            </w:pPr>
            <w:r>
              <w:rPr>
                <w:rFonts w:asciiTheme="majorHAnsi" w:hAnsiTheme="majorHAnsi"/>
                <w:color w:val="000000"/>
                <w:lang w:eastAsia="en-IN"/>
              </w:rPr>
              <w:t>Annual deliverables - point 12 (audit completion )</w:t>
            </w:r>
            <w:r>
              <w:rPr>
                <w:rFonts w:asciiTheme="majorHAnsi" w:hAnsiTheme="majorHAnsi"/>
              </w:rPr>
              <w:t xml:space="preserve"> of Para 9.0</w:t>
            </w:r>
            <w:r>
              <w:rPr>
                <w:rFonts w:asciiTheme="majorHAnsi" w:hAnsiTheme="majorHAnsi"/>
                <w:color w:val="000000"/>
                <w:lang w:eastAsia="en-IN"/>
              </w:rPr>
              <w:t xml:space="preserve"> ( given below) </w:t>
            </w:r>
          </w:p>
        </w:tc>
        <w:tc>
          <w:tcPr>
            <w:tcW w:w="3193" w:type="dxa"/>
            <w:tcBorders>
              <w:top w:val="single" w:sz="4" w:space="0" w:color="auto"/>
              <w:left w:val="single" w:sz="4" w:space="0" w:color="auto"/>
              <w:bottom w:val="single" w:sz="4" w:space="0" w:color="auto"/>
              <w:right w:val="single" w:sz="4" w:space="0" w:color="auto"/>
            </w:tcBorders>
            <w:vAlign w:val="center"/>
            <w:hideMark/>
          </w:tcPr>
          <w:p w:rsidR="00A23035" w:rsidRDefault="00A23035" w:rsidP="00A23035">
            <w:pPr>
              <w:spacing w:after="240"/>
              <w:rPr>
                <w:rFonts w:asciiTheme="majorHAnsi" w:hAnsiTheme="majorHAnsi"/>
              </w:rPr>
            </w:pPr>
            <w:r>
              <w:rPr>
                <w:rFonts w:asciiTheme="majorHAnsi" w:hAnsiTheme="majorHAnsi"/>
              </w:rPr>
              <w:t>12.5 X 2 = 25%</w:t>
            </w:r>
          </w:p>
          <w:p w:rsidR="00A23035" w:rsidRDefault="00A23035" w:rsidP="00A23035">
            <w:pPr>
              <w:spacing w:after="240"/>
              <w:rPr>
                <w:rFonts w:asciiTheme="majorHAnsi" w:hAnsiTheme="majorHAnsi"/>
              </w:rPr>
            </w:pPr>
            <w:r>
              <w:rPr>
                <w:rFonts w:asciiTheme="majorHAnsi" w:hAnsiTheme="majorHAnsi"/>
              </w:rPr>
              <w:t>(2 installment)</w:t>
            </w:r>
          </w:p>
        </w:tc>
      </w:tr>
    </w:tbl>
    <w:p w:rsidR="003E5769" w:rsidRPr="006D3969" w:rsidRDefault="003E5769" w:rsidP="00751EA3">
      <w:pPr>
        <w:pStyle w:val="ListParagraph"/>
        <w:ind w:left="709"/>
        <w:jc w:val="both"/>
        <w:rPr>
          <w:rFonts w:asciiTheme="majorHAnsi" w:hAnsiTheme="majorHAnsi"/>
          <w:b/>
          <w:sz w:val="32"/>
        </w:rPr>
      </w:pPr>
    </w:p>
    <w:p w:rsidR="00EE2B01" w:rsidRPr="006D3969" w:rsidRDefault="00581B1A" w:rsidP="000121DC">
      <w:pPr>
        <w:pStyle w:val="Heading1"/>
        <w:keepLines w:val="0"/>
        <w:tabs>
          <w:tab w:val="left" w:pos="720"/>
        </w:tabs>
        <w:spacing w:after="0"/>
        <w:jc w:val="both"/>
        <w:rPr>
          <w:rFonts w:asciiTheme="majorHAnsi" w:hAnsiTheme="majorHAnsi"/>
          <w:bCs/>
          <w:sz w:val="26"/>
          <w:szCs w:val="26"/>
        </w:rPr>
      </w:pPr>
      <w:bookmarkStart w:id="7" w:name="_Toc242524056"/>
      <w:bookmarkStart w:id="8" w:name="OLE_LINK3"/>
      <w:r>
        <w:rPr>
          <w:rFonts w:asciiTheme="majorHAnsi" w:hAnsiTheme="majorHAnsi"/>
          <w:bCs/>
          <w:sz w:val="26"/>
          <w:szCs w:val="26"/>
        </w:rPr>
        <w:t>8</w:t>
      </w:r>
      <w:r w:rsidR="00EE2B01" w:rsidRPr="006D3969">
        <w:rPr>
          <w:rFonts w:asciiTheme="majorHAnsi" w:hAnsiTheme="majorHAnsi"/>
          <w:bCs/>
          <w:sz w:val="26"/>
          <w:szCs w:val="26"/>
        </w:rPr>
        <w:t xml:space="preserve">.0 </w:t>
      </w:r>
      <w:r w:rsidR="000121DC" w:rsidRPr="006D3969">
        <w:rPr>
          <w:rFonts w:asciiTheme="majorHAnsi" w:hAnsiTheme="majorHAnsi"/>
          <w:bCs/>
          <w:sz w:val="26"/>
          <w:szCs w:val="26"/>
        </w:rPr>
        <w:tab/>
      </w:r>
      <w:r w:rsidR="00F70DFA" w:rsidRPr="006D3969">
        <w:rPr>
          <w:rFonts w:asciiTheme="majorHAnsi" w:hAnsiTheme="majorHAnsi"/>
          <w:bCs/>
          <w:sz w:val="26"/>
          <w:szCs w:val="26"/>
        </w:rPr>
        <w:t>REVIEW AND MONITORING OF CONSULTANT’S WORK</w:t>
      </w:r>
      <w:bookmarkEnd w:id="7"/>
    </w:p>
    <w:bookmarkEnd w:id="8"/>
    <w:p w:rsidR="00EE2B01" w:rsidRPr="006D3969" w:rsidRDefault="00EE2B01" w:rsidP="00EE2B01">
      <w:pPr>
        <w:spacing w:before="240"/>
        <w:ind w:left="1080" w:hanging="630"/>
        <w:jc w:val="both"/>
        <w:rPr>
          <w:rFonts w:asciiTheme="majorHAnsi" w:hAnsiTheme="majorHAnsi"/>
        </w:rPr>
      </w:pPr>
      <w:r w:rsidRPr="006D3969">
        <w:rPr>
          <w:rFonts w:asciiTheme="majorHAnsi" w:hAnsiTheme="majorHAnsi"/>
        </w:rPr>
        <w:t>(i)</w:t>
      </w:r>
      <w:r w:rsidRPr="006D3969">
        <w:rPr>
          <w:rFonts w:asciiTheme="majorHAnsi" w:hAnsiTheme="majorHAnsi"/>
        </w:rPr>
        <w:tab/>
        <w:t>Consultant’s performance and quality of work will be continuously reviewed by the BAPEPS.</w:t>
      </w:r>
    </w:p>
    <w:p w:rsidR="00EE2B01" w:rsidRPr="006D3969" w:rsidRDefault="00F70DFA" w:rsidP="00751EA3">
      <w:pPr>
        <w:spacing w:before="240"/>
        <w:ind w:left="1080" w:hanging="630"/>
        <w:jc w:val="both"/>
        <w:rPr>
          <w:rFonts w:asciiTheme="majorHAnsi" w:hAnsiTheme="majorHAnsi"/>
        </w:rPr>
      </w:pPr>
      <w:r w:rsidRPr="006D3969">
        <w:rPr>
          <w:rFonts w:asciiTheme="majorHAnsi" w:hAnsiTheme="majorHAnsi"/>
        </w:rPr>
        <w:t xml:space="preserve"> (ii)  </w:t>
      </w:r>
      <w:r w:rsidR="00EE2B01" w:rsidRPr="006D3969">
        <w:rPr>
          <w:rFonts w:asciiTheme="majorHAnsi" w:hAnsiTheme="majorHAnsi"/>
        </w:rPr>
        <w:t xml:space="preserve">There would be formal review, annually by a committee set up at BAPEPS </w:t>
      </w:r>
      <w:r w:rsidR="006E3CCB" w:rsidRPr="006D3969">
        <w:rPr>
          <w:rFonts w:asciiTheme="majorHAnsi" w:hAnsiTheme="majorHAnsi"/>
        </w:rPr>
        <w:t xml:space="preserve">and </w:t>
      </w:r>
      <w:r w:rsidR="00EE2B01" w:rsidRPr="006D3969">
        <w:rPr>
          <w:rFonts w:asciiTheme="majorHAnsi" w:hAnsiTheme="majorHAnsi"/>
        </w:rPr>
        <w:t>at the inception stage</w:t>
      </w:r>
      <w:r w:rsidR="006E3CCB" w:rsidRPr="006D3969">
        <w:rPr>
          <w:rFonts w:asciiTheme="majorHAnsi" w:hAnsiTheme="majorHAnsi"/>
        </w:rPr>
        <w:t xml:space="preserve"> as well</w:t>
      </w:r>
      <w:r w:rsidR="00EE2B01" w:rsidRPr="006D3969">
        <w:rPr>
          <w:rFonts w:asciiTheme="majorHAnsi" w:hAnsiTheme="majorHAnsi"/>
        </w:rPr>
        <w:t xml:space="preserve">. Unsatisfactory performance will invite action including pre closure of contract in accordance with the contract provisions. </w:t>
      </w:r>
    </w:p>
    <w:p w:rsidR="00653DD3" w:rsidRDefault="00653DD3" w:rsidP="00751EA3">
      <w:pPr>
        <w:spacing w:before="240"/>
        <w:ind w:left="1080" w:hanging="630"/>
        <w:jc w:val="both"/>
        <w:rPr>
          <w:rFonts w:asciiTheme="majorHAnsi" w:hAnsiTheme="majorHAnsi"/>
        </w:rPr>
      </w:pPr>
    </w:p>
    <w:p w:rsidR="00653DD3" w:rsidRPr="006D3969" w:rsidRDefault="00581B1A" w:rsidP="00653DD3">
      <w:pPr>
        <w:jc w:val="both"/>
        <w:rPr>
          <w:rFonts w:asciiTheme="majorHAnsi" w:hAnsiTheme="majorHAnsi"/>
          <w:b/>
          <w:bCs/>
        </w:rPr>
      </w:pPr>
      <w:r>
        <w:rPr>
          <w:rFonts w:asciiTheme="majorHAnsi" w:hAnsiTheme="majorHAnsi"/>
          <w:b/>
          <w:sz w:val="26"/>
          <w:szCs w:val="26"/>
        </w:rPr>
        <w:t>9</w:t>
      </w:r>
      <w:r w:rsidR="002C7B6D" w:rsidRPr="006D3969">
        <w:rPr>
          <w:rFonts w:asciiTheme="majorHAnsi" w:hAnsiTheme="majorHAnsi"/>
          <w:b/>
          <w:sz w:val="26"/>
          <w:szCs w:val="26"/>
        </w:rPr>
        <w:t>.0</w:t>
      </w:r>
      <w:r w:rsidR="00653DD3" w:rsidRPr="006D3969">
        <w:rPr>
          <w:rFonts w:asciiTheme="majorHAnsi" w:hAnsiTheme="majorHAnsi"/>
          <w:b/>
          <w:sz w:val="26"/>
          <w:szCs w:val="26"/>
        </w:rPr>
        <w:t xml:space="preserve">  </w:t>
      </w:r>
      <w:r w:rsidR="00653DD3" w:rsidRPr="006D3969">
        <w:rPr>
          <w:rFonts w:asciiTheme="majorHAnsi" w:hAnsiTheme="majorHAnsi"/>
          <w:b/>
          <w:bCs/>
        </w:rPr>
        <w:t xml:space="preserve">  REPORTING  OBLIGATIONS OF  THE WORK DONE  AS  PER SCOPE OF  WORK &amp; </w:t>
      </w:r>
    </w:p>
    <w:p w:rsidR="00653DD3" w:rsidRPr="006D3969" w:rsidRDefault="00653DD3" w:rsidP="00653DD3">
      <w:pPr>
        <w:jc w:val="both"/>
        <w:rPr>
          <w:rFonts w:asciiTheme="majorHAnsi" w:hAnsiTheme="majorHAnsi"/>
          <w:b/>
          <w:bCs/>
        </w:rPr>
      </w:pPr>
      <w:r w:rsidRPr="006D3969">
        <w:rPr>
          <w:rFonts w:asciiTheme="majorHAnsi" w:hAnsiTheme="majorHAnsi"/>
          <w:b/>
          <w:bCs/>
        </w:rPr>
        <w:t xml:space="preserve">          DELIVERABLES </w:t>
      </w:r>
    </w:p>
    <w:tbl>
      <w:tblPr>
        <w:tblStyle w:val="TableGrid"/>
        <w:tblW w:w="9738" w:type="dxa"/>
        <w:tblLook w:val="04A0"/>
      </w:tblPr>
      <w:tblGrid>
        <w:gridCol w:w="572"/>
        <w:gridCol w:w="7726"/>
        <w:gridCol w:w="1440"/>
      </w:tblGrid>
      <w:tr w:rsidR="00653DD3" w:rsidRPr="006D3969" w:rsidTr="004B6485">
        <w:tc>
          <w:tcPr>
            <w:tcW w:w="572" w:type="dxa"/>
            <w:vAlign w:val="center"/>
          </w:tcPr>
          <w:p w:rsidR="00653DD3" w:rsidRPr="006D3969" w:rsidRDefault="00653DD3" w:rsidP="003C19AB">
            <w:pPr>
              <w:jc w:val="center"/>
              <w:rPr>
                <w:rFonts w:asciiTheme="majorHAnsi" w:hAnsiTheme="majorHAnsi"/>
                <w:b/>
                <w:bCs/>
                <w:sz w:val="24"/>
                <w:szCs w:val="24"/>
              </w:rPr>
            </w:pPr>
            <w:r w:rsidRPr="006D3969">
              <w:rPr>
                <w:rFonts w:asciiTheme="majorHAnsi" w:hAnsiTheme="majorHAnsi"/>
                <w:b/>
                <w:bCs/>
                <w:sz w:val="24"/>
                <w:szCs w:val="24"/>
              </w:rPr>
              <w:t>Sl. No.</w:t>
            </w:r>
          </w:p>
        </w:tc>
        <w:tc>
          <w:tcPr>
            <w:tcW w:w="7726" w:type="dxa"/>
            <w:vAlign w:val="center"/>
          </w:tcPr>
          <w:p w:rsidR="00653DD3" w:rsidRPr="006D3969" w:rsidRDefault="00653DD3" w:rsidP="003C19AB">
            <w:pPr>
              <w:jc w:val="center"/>
              <w:rPr>
                <w:rFonts w:asciiTheme="majorHAnsi" w:hAnsiTheme="majorHAnsi"/>
                <w:b/>
                <w:bCs/>
                <w:sz w:val="24"/>
                <w:szCs w:val="24"/>
              </w:rPr>
            </w:pPr>
            <w:r w:rsidRPr="006D3969">
              <w:rPr>
                <w:rFonts w:asciiTheme="majorHAnsi" w:hAnsiTheme="majorHAnsi"/>
                <w:b/>
                <w:bCs/>
                <w:sz w:val="24"/>
                <w:szCs w:val="24"/>
              </w:rPr>
              <w:t>Reporting obligations</w:t>
            </w:r>
          </w:p>
        </w:tc>
        <w:tc>
          <w:tcPr>
            <w:tcW w:w="1440" w:type="dxa"/>
            <w:vAlign w:val="center"/>
          </w:tcPr>
          <w:p w:rsidR="00653DD3" w:rsidRPr="006D3969" w:rsidRDefault="00653DD3" w:rsidP="003C19AB">
            <w:pPr>
              <w:jc w:val="center"/>
              <w:rPr>
                <w:rFonts w:asciiTheme="majorHAnsi" w:hAnsiTheme="majorHAnsi"/>
                <w:b/>
                <w:bCs/>
                <w:sz w:val="24"/>
                <w:szCs w:val="24"/>
              </w:rPr>
            </w:pPr>
            <w:r w:rsidRPr="006D3969">
              <w:rPr>
                <w:rFonts w:asciiTheme="majorHAnsi" w:hAnsiTheme="majorHAnsi"/>
                <w:b/>
                <w:bCs/>
                <w:sz w:val="24"/>
                <w:szCs w:val="24"/>
              </w:rPr>
              <w:t>Reporting Period</w:t>
            </w:r>
          </w:p>
        </w:tc>
      </w:tr>
      <w:tr w:rsidR="00653DD3" w:rsidRPr="006D3969" w:rsidTr="00E0186D">
        <w:trPr>
          <w:trHeight w:val="1120"/>
        </w:trPr>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1</w:t>
            </w:r>
          </w:p>
        </w:tc>
        <w:tc>
          <w:tcPr>
            <w:tcW w:w="7726" w:type="dxa"/>
          </w:tcPr>
          <w:p w:rsidR="00653DD3" w:rsidRPr="006D3969" w:rsidRDefault="00653DD3" w:rsidP="00FE7849">
            <w:pPr>
              <w:spacing w:before="120" w:after="120"/>
              <w:jc w:val="both"/>
              <w:rPr>
                <w:rFonts w:asciiTheme="majorHAnsi" w:hAnsiTheme="majorHAnsi"/>
              </w:rPr>
            </w:pPr>
            <w:r w:rsidRPr="006D3969">
              <w:rPr>
                <w:rFonts w:asciiTheme="majorHAnsi" w:hAnsiTheme="majorHAnsi"/>
              </w:rPr>
              <w:t xml:space="preserve">Timely Maintenance of separate books of accounts of </w:t>
            </w:r>
            <w:r w:rsidR="00E1690E" w:rsidRPr="006D3969">
              <w:rPr>
                <w:rFonts w:asciiTheme="majorHAnsi" w:hAnsiTheme="majorHAnsi"/>
              </w:rPr>
              <w:t xml:space="preserve">expenditure for </w:t>
            </w:r>
            <w:r w:rsidR="00FE7849">
              <w:rPr>
                <w:rFonts w:asciiTheme="majorHAnsi" w:hAnsiTheme="majorHAnsi"/>
              </w:rPr>
              <w:t xml:space="preserve">SPMU and </w:t>
            </w:r>
            <w:r w:rsidRPr="006D3969">
              <w:rPr>
                <w:rFonts w:asciiTheme="majorHAnsi" w:hAnsiTheme="majorHAnsi"/>
              </w:rPr>
              <w:t xml:space="preserve"> works related to </w:t>
            </w:r>
            <w:r w:rsidR="00DF09C5" w:rsidRPr="006D3969">
              <w:rPr>
                <w:rFonts w:asciiTheme="majorHAnsi" w:hAnsiTheme="majorHAnsi"/>
              </w:rPr>
              <w:t>IA</w:t>
            </w:r>
            <w:r w:rsidRPr="006D3969">
              <w:rPr>
                <w:rFonts w:asciiTheme="majorHAnsi" w:hAnsiTheme="majorHAnsi"/>
              </w:rPr>
              <w:t>s &amp; submission of monthly expenditure/ financial progress reports in the prescribed formats.</w:t>
            </w:r>
            <w:bookmarkStart w:id="9" w:name="_GoBack"/>
            <w:bookmarkEnd w:id="9"/>
            <w:r w:rsidRPr="006D3969">
              <w:rPr>
                <w:rFonts w:asciiTheme="majorHAnsi" w:hAnsiTheme="majorHAnsi"/>
              </w:rPr>
              <w:t xml:space="preserve"> </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Quarterly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2</w:t>
            </w:r>
          </w:p>
        </w:tc>
        <w:tc>
          <w:tcPr>
            <w:tcW w:w="7726" w:type="dxa"/>
          </w:tcPr>
          <w:p w:rsidR="00653DD3" w:rsidRPr="006D3969" w:rsidRDefault="00653DD3" w:rsidP="000E43AC">
            <w:pPr>
              <w:spacing w:before="120" w:after="120"/>
              <w:jc w:val="both"/>
              <w:rPr>
                <w:rFonts w:asciiTheme="majorHAnsi" w:hAnsiTheme="majorHAnsi"/>
              </w:rPr>
            </w:pPr>
            <w:r w:rsidRPr="006D3969">
              <w:rPr>
                <w:rFonts w:asciiTheme="majorHAnsi" w:hAnsiTheme="majorHAnsi"/>
              </w:rPr>
              <w:t>Quarterly receipts and payments of account and utilization of project funds of SPMU</w:t>
            </w:r>
            <w:r w:rsidR="000E43AC">
              <w:rPr>
                <w:rFonts w:asciiTheme="majorHAnsi" w:hAnsiTheme="majorHAnsi"/>
              </w:rPr>
              <w:t xml:space="preserve"> &amp; </w:t>
            </w:r>
            <w:r w:rsidR="00DF09C5" w:rsidRPr="006D3969">
              <w:rPr>
                <w:rFonts w:asciiTheme="majorHAnsi" w:hAnsiTheme="majorHAnsi"/>
              </w:rPr>
              <w:t>IA</w:t>
            </w:r>
            <w:r w:rsidRPr="006D3969">
              <w:rPr>
                <w:rFonts w:asciiTheme="majorHAnsi" w:hAnsiTheme="majorHAnsi"/>
              </w:rPr>
              <w:t>s</w:t>
            </w:r>
            <w:r w:rsidR="000E43AC">
              <w:rPr>
                <w:rFonts w:asciiTheme="majorHAnsi" w:hAnsiTheme="majorHAnsi"/>
              </w:rPr>
              <w:t>.</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Quarterly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3</w:t>
            </w:r>
          </w:p>
        </w:tc>
        <w:tc>
          <w:tcPr>
            <w:tcW w:w="7726" w:type="dxa"/>
          </w:tcPr>
          <w:p w:rsidR="00653DD3" w:rsidRPr="006D3969" w:rsidRDefault="00653DD3" w:rsidP="000E43AC">
            <w:pPr>
              <w:spacing w:before="120" w:after="120"/>
              <w:jc w:val="both"/>
              <w:rPr>
                <w:rFonts w:asciiTheme="majorHAnsi" w:hAnsiTheme="majorHAnsi"/>
              </w:rPr>
            </w:pPr>
            <w:r w:rsidRPr="006D3969">
              <w:rPr>
                <w:rFonts w:asciiTheme="majorHAnsi" w:hAnsiTheme="majorHAnsi"/>
              </w:rPr>
              <w:t>Quarterly Bank Reconciliation Statements (duly signed by the Consultant) for all bank accounts operated and maintained under the BKBDP</w:t>
            </w:r>
            <w:r w:rsidR="000E43AC">
              <w:rPr>
                <w:rFonts w:asciiTheme="majorHAnsi" w:hAnsiTheme="majorHAnsi"/>
              </w:rPr>
              <w:t>.</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Quarterly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4</w:t>
            </w:r>
          </w:p>
        </w:tc>
        <w:tc>
          <w:tcPr>
            <w:tcW w:w="7726" w:type="dxa"/>
          </w:tcPr>
          <w:p w:rsidR="00653DD3" w:rsidRDefault="00653DD3" w:rsidP="000E43AC">
            <w:pPr>
              <w:tabs>
                <w:tab w:val="left" w:pos="900"/>
              </w:tabs>
              <w:spacing w:before="120" w:after="120"/>
              <w:jc w:val="both"/>
              <w:rPr>
                <w:rFonts w:asciiTheme="majorHAnsi" w:hAnsiTheme="majorHAnsi"/>
              </w:rPr>
            </w:pPr>
            <w:r w:rsidRPr="006D3969">
              <w:rPr>
                <w:rFonts w:asciiTheme="majorHAnsi" w:hAnsiTheme="majorHAnsi"/>
              </w:rPr>
              <w:t>Quarterly, Annual and cumulative Beneficiary wise list of tranches released with respect to Agriculture and  A</w:t>
            </w:r>
            <w:r w:rsidR="000E43AC">
              <w:rPr>
                <w:rFonts w:asciiTheme="majorHAnsi" w:hAnsiTheme="majorHAnsi"/>
              </w:rPr>
              <w:t xml:space="preserve">nimal &amp; Fisheries beneficiaries. </w:t>
            </w:r>
            <w:r w:rsidR="001B296A" w:rsidRPr="006D3969">
              <w:rPr>
                <w:rFonts w:asciiTheme="majorHAnsi" w:hAnsiTheme="majorHAnsi"/>
              </w:rPr>
              <w:t>Annual S</w:t>
            </w:r>
            <w:r w:rsidR="000E43AC">
              <w:rPr>
                <w:rFonts w:asciiTheme="majorHAnsi" w:hAnsiTheme="majorHAnsi"/>
              </w:rPr>
              <w:t>tatements should be validated</w:t>
            </w:r>
            <w:r w:rsidRPr="006D3969">
              <w:rPr>
                <w:rFonts w:asciiTheme="majorHAnsi" w:hAnsiTheme="majorHAnsi"/>
              </w:rPr>
              <w:t>/certified by the Consultant and concerned officials.</w:t>
            </w:r>
          </w:p>
          <w:p w:rsidR="0016665F" w:rsidRDefault="0016665F" w:rsidP="000E43AC">
            <w:pPr>
              <w:tabs>
                <w:tab w:val="left" w:pos="900"/>
              </w:tabs>
              <w:spacing w:before="120" w:after="120"/>
              <w:jc w:val="both"/>
              <w:rPr>
                <w:rFonts w:asciiTheme="majorHAnsi" w:hAnsiTheme="majorHAnsi"/>
              </w:rPr>
            </w:pPr>
          </w:p>
          <w:p w:rsidR="0016665F" w:rsidRDefault="0016665F" w:rsidP="000E43AC">
            <w:pPr>
              <w:tabs>
                <w:tab w:val="left" w:pos="900"/>
              </w:tabs>
              <w:spacing w:before="120" w:after="120"/>
              <w:jc w:val="both"/>
              <w:rPr>
                <w:rFonts w:asciiTheme="majorHAnsi" w:hAnsiTheme="majorHAnsi"/>
              </w:rPr>
            </w:pPr>
          </w:p>
          <w:p w:rsidR="0016665F" w:rsidRPr="006D3969" w:rsidRDefault="0016665F" w:rsidP="000E43AC">
            <w:pPr>
              <w:tabs>
                <w:tab w:val="left" w:pos="900"/>
              </w:tabs>
              <w:spacing w:before="120" w:after="120"/>
              <w:jc w:val="both"/>
              <w:rPr>
                <w:rFonts w:asciiTheme="majorHAnsi" w:hAnsiTheme="majorHAnsi"/>
              </w:rPr>
            </w:pP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Quarterly</w:t>
            </w:r>
          </w:p>
          <w:p w:rsidR="00653DD3" w:rsidRPr="006D3969" w:rsidRDefault="00653DD3" w:rsidP="003C19AB">
            <w:pPr>
              <w:spacing w:before="120" w:after="120"/>
              <w:rPr>
                <w:rFonts w:asciiTheme="majorHAnsi" w:hAnsiTheme="majorHAnsi"/>
              </w:rPr>
            </w:pP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lastRenderedPageBreak/>
              <w:t>5</w:t>
            </w:r>
          </w:p>
        </w:tc>
        <w:tc>
          <w:tcPr>
            <w:tcW w:w="7726" w:type="dxa"/>
          </w:tcPr>
          <w:p w:rsidR="00653DD3" w:rsidRPr="006D3969" w:rsidRDefault="00653DD3" w:rsidP="000E43AC">
            <w:pPr>
              <w:tabs>
                <w:tab w:val="left" w:pos="900"/>
              </w:tabs>
              <w:spacing w:before="120" w:after="120"/>
              <w:jc w:val="both"/>
              <w:rPr>
                <w:rFonts w:asciiTheme="majorHAnsi" w:hAnsiTheme="majorHAnsi"/>
              </w:rPr>
            </w:pPr>
            <w:r w:rsidRPr="006D3969">
              <w:rPr>
                <w:rFonts w:asciiTheme="majorHAnsi" w:hAnsiTheme="majorHAnsi"/>
              </w:rPr>
              <w:t xml:space="preserve">List of assets procured from the BKBDP project funds at SPMU and </w:t>
            </w:r>
            <w:r w:rsidR="00DF09C5" w:rsidRPr="006D3969">
              <w:rPr>
                <w:rFonts w:asciiTheme="majorHAnsi" w:hAnsiTheme="majorHAnsi"/>
              </w:rPr>
              <w:t>IAs</w:t>
            </w:r>
            <w:r w:rsidRPr="006D3969">
              <w:rPr>
                <w:rFonts w:asciiTheme="majorHAnsi" w:hAnsiTheme="majorHAnsi"/>
              </w:rPr>
              <w:t xml:space="preserve"> at each levels giving details of the cost, date of purchase, details of suppliers, identification and location of each asset including physical verification of such assets. These lists are to be signed by the Consultant and concerned officials.</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Annually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6</w:t>
            </w:r>
          </w:p>
        </w:tc>
        <w:tc>
          <w:tcPr>
            <w:tcW w:w="7726" w:type="dxa"/>
          </w:tcPr>
          <w:p w:rsidR="00653DD3" w:rsidRPr="006D3969" w:rsidRDefault="00653DD3" w:rsidP="000E43AC">
            <w:pPr>
              <w:tabs>
                <w:tab w:val="left" w:pos="900"/>
              </w:tabs>
              <w:spacing w:before="120" w:after="120"/>
              <w:jc w:val="both"/>
              <w:rPr>
                <w:rFonts w:asciiTheme="majorHAnsi" w:hAnsiTheme="majorHAnsi"/>
              </w:rPr>
            </w:pPr>
            <w:r w:rsidRPr="006D3969">
              <w:rPr>
                <w:rFonts w:asciiTheme="majorHAnsi" w:hAnsiTheme="majorHAnsi"/>
              </w:rPr>
              <w:t xml:space="preserve">Quarterly IUFR based on the books of account and beneficiary tranche payment list in the prescribed formats.     </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Quarterly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7</w:t>
            </w:r>
          </w:p>
        </w:tc>
        <w:tc>
          <w:tcPr>
            <w:tcW w:w="7726" w:type="dxa"/>
          </w:tcPr>
          <w:p w:rsidR="00653DD3" w:rsidRPr="006D3969" w:rsidRDefault="00653DD3" w:rsidP="003A2562">
            <w:pPr>
              <w:tabs>
                <w:tab w:val="left" w:pos="900"/>
              </w:tabs>
              <w:spacing w:before="120" w:after="120"/>
              <w:jc w:val="both"/>
              <w:rPr>
                <w:rFonts w:asciiTheme="majorHAnsi" w:hAnsiTheme="majorHAnsi"/>
              </w:rPr>
            </w:pPr>
            <w:r w:rsidRPr="006D3969">
              <w:rPr>
                <w:rFonts w:asciiTheme="majorHAnsi" w:hAnsiTheme="majorHAnsi"/>
              </w:rPr>
              <w:t>Statement of rectification entries passed to ensure compliance with the audit observations highlighted during statutory audits for the previous years</w:t>
            </w:r>
            <w:r w:rsidR="001B296A" w:rsidRPr="006D3969">
              <w:rPr>
                <w:rFonts w:asciiTheme="majorHAnsi" w:hAnsiTheme="majorHAnsi"/>
              </w:rPr>
              <w:t xml:space="preserve">.     </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Annually</w:t>
            </w:r>
          </w:p>
        </w:tc>
      </w:tr>
      <w:tr w:rsidR="00653DD3" w:rsidRPr="006D3969" w:rsidTr="00A52177">
        <w:trPr>
          <w:trHeight w:val="1133"/>
        </w:trPr>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8</w:t>
            </w:r>
          </w:p>
        </w:tc>
        <w:tc>
          <w:tcPr>
            <w:tcW w:w="7726" w:type="dxa"/>
          </w:tcPr>
          <w:p w:rsidR="00653DD3" w:rsidRPr="006D3969" w:rsidRDefault="00653DD3" w:rsidP="003A2562">
            <w:pPr>
              <w:tabs>
                <w:tab w:val="left" w:pos="900"/>
              </w:tabs>
              <w:spacing w:before="120" w:after="120"/>
              <w:jc w:val="both"/>
              <w:rPr>
                <w:rFonts w:asciiTheme="majorHAnsi" w:hAnsiTheme="majorHAnsi"/>
              </w:rPr>
            </w:pPr>
            <w:r w:rsidRPr="006D3969">
              <w:rPr>
                <w:rFonts w:asciiTheme="majorHAnsi" w:hAnsiTheme="majorHAnsi"/>
              </w:rPr>
              <w:t>Annual BKBDP Project Financial Statements along with the accounting policies, schedules and notes to accounts; All such statements of each of the PIUs are to be signed by the Consultant and concerned officials.</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Annually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9</w:t>
            </w:r>
          </w:p>
        </w:tc>
        <w:tc>
          <w:tcPr>
            <w:tcW w:w="7726" w:type="dxa"/>
          </w:tcPr>
          <w:p w:rsidR="00653DD3" w:rsidRPr="006D3969" w:rsidRDefault="00653DD3" w:rsidP="003A2562">
            <w:pPr>
              <w:spacing w:before="120" w:after="120"/>
              <w:jc w:val="both"/>
              <w:rPr>
                <w:rFonts w:asciiTheme="majorHAnsi" w:hAnsiTheme="majorHAnsi"/>
              </w:rPr>
            </w:pPr>
            <w:r w:rsidRPr="006D3969">
              <w:rPr>
                <w:rFonts w:asciiTheme="majorHAnsi" w:hAnsiTheme="majorHAnsi"/>
                <w:color w:val="000000"/>
                <w:lang w:eastAsia="en-IN"/>
              </w:rPr>
              <w:t xml:space="preserve">Monitor the functioning of the parent child account banking arrangements and its extension to the departments </w:t>
            </w:r>
            <w:r w:rsidRPr="006D3969">
              <w:rPr>
                <w:rFonts w:asciiTheme="majorHAnsi" w:hAnsiTheme="majorHAnsi"/>
                <w:lang w:eastAsia="en-IN"/>
              </w:rPr>
              <w:t>which are to be engaged/involved in execution of</w:t>
            </w:r>
            <w:r w:rsidRPr="006D3969">
              <w:rPr>
                <w:rFonts w:asciiTheme="majorHAnsi" w:hAnsiTheme="majorHAnsi"/>
                <w:color w:val="000000"/>
                <w:lang w:eastAsia="en-IN"/>
              </w:rPr>
              <w:t xml:space="preserve">  BKBDP.</w:t>
            </w:r>
            <w:r w:rsidRPr="006D3969">
              <w:rPr>
                <w:rFonts w:asciiTheme="majorHAnsi" w:hAnsiTheme="majorHAnsi"/>
              </w:rPr>
              <w:t xml:space="preserve"> </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Monthly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10</w:t>
            </w:r>
          </w:p>
        </w:tc>
        <w:tc>
          <w:tcPr>
            <w:tcW w:w="7726" w:type="dxa"/>
          </w:tcPr>
          <w:p w:rsidR="00653DD3" w:rsidRPr="006D3969" w:rsidRDefault="00653DD3" w:rsidP="003C19AB">
            <w:pPr>
              <w:spacing w:before="120" w:after="120"/>
              <w:jc w:val="both"/>
              <w:rPr>
                <w:rFonts w:asciiTheme="majorHAnsi" w:hAnsiTheme="majorHAnsi"/>
              </w:rPr>
            </w:pPr>
            <w:r w:rsidRPr="006D3969">
              <w:rPr>
                <w:rFonts w:asciiTheme="majorHAnsi" w:hAnsiTheme="majorHAnsi"/>
              </w:rPr>
              <w:t xml:space="preserve">Provide advisory support to the state office in matters relating to statutory compliance (Tax and regulatory filing) and procurement at the state office. </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Quarterly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11</w:t>
            </w:r>
          </w:p>
        </w:tc>
        <w:tc>
          <w:tcPr>
            <w:tcW w:w="7726" w:type="dxa"/>
          </w:tcPr>
          <w:p w:rsidR="00653DD3" w:rsidRPr="006D3969" w:rsidRDefault="00653DD3" w:rsidP="003C19AB">
            <w:pPr>
              <w:spacing w:before="120" w:after="120"/>
              <w:jc w:val="both"/>
              <w:rPr>
                <w:rFonts w:asciiTheme="majorHAnsi" w:hAnsiTheme="majorHAnsi"/>
              </w:rPr>
            </w:pPr>
            <w:r w:rsidRPr="006D3969">
              <w:rPr>
                <w:rFonts w:asciiTheme="majorHAnsi" w:hAnsiTheme="majorHAnsi"/>
              </w:rPr>
              <w:t xml:space="preserve">Train and handhold project accounts personnel equipping them in accounting matters so that they become capable of handling these matters on their own. </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Quarterly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12</w:t>
            </w:r>
          </w:p>
        </w:tc>
        <w:tc>
          <w:tcPr>
            <w:tcW w:w="7726" w:type="dxa"/>
          </w:tcPr>
          <w:p w:rsidR="00653DD3" w:rsidRPr="006D3969" w:rsidRDefault="006E3CCB" w:rsidP="003A2562">
            <w:pPr>
              <w:tabs>
                <w:tab w:val="left" w:pos="900"/>
              </w:tabs>
              <w:spacing w:before="120" w:after="120"/>
              <w:jc w:val="both"/>
              <w:rPr>
                <w:rFonts w:asciiTheme="majorHAnsi" w:hAnsiTheme="majorHAnsi"/>
              </w:rPr>
            </w:pPr>
            <w:r w:rsidRPr="006D3969">
              <w:rPr>
                <w:rFonts w:asciiTheme="majorHAnsi" w:hAnsiTheme="majorHAnsi"/>
              </w:rPr>
              <w:t xml:space="preserve">Assisting </w:t>
            </w:r>
            <w:r w:rsidR="00653DD3" w:rsidRPr="006D3969">
              <w:rPr>
                <w:rFonts w:asciiTheme="majorHAnsi" w:hAnsiTheme="majorHAnsi"/>
              </w:rPr>
              <w:t>Completion of statutory audit of the BKBDP project financial statements</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Annually</w:t>
            </w:r>
          </w:p>
        </w:tc>
      </w:tr>
      <w:tr w:rsidR="00653DD3" w:rsidRPr="006D3969" w:rsidTr="004B6485">
        <w:tc>
          <w:tcPr>
            <w:tcW w:w="572" w:type="dxa"/>
          </w:tcPr>
          <w:p w:rsidR="00653DD3" w:rsidRPr="006D3969" w:rsidRDefault="00653DD3" w:rsidP="003C19AB">
            <w:pPr>
              <w:spacing w:before="120" w:after="120"/>
              <w:jc w:val="right"/>
              <w:rPr>
                <w:rFonts w:asciiTheme="majorHAnsi" w:hAnsiTheme="majorHAnsi"/>
              </w:rPr>
            </w:pPr>
            <w:r w:rsidRPr="006D3969">
              <w:rPr>
                <w:rFonts w:asciiTheme="majorHAnsi" w:hAnsiTheme="majorHAnsi"/>
              </w:rPr>
              <w:t>13</w:t>
            </w:r>
          </w:p>
        </w:tc>
        <w:tc>
          <w:tcPr>
            <w:tcW w:w="7726" w:type="dxa"/>
          </w:tcPr>
          <w:p w:rsidR="00653DD3" w:rsidRPr="006D3969" w:rsidRDefault="00653DD3" w:rsidP="003C19AB">
            <w:pPr>
              <w:spacing w:before="120" w:after="120"/>
              <w:jc w:val="both"/>
              <w:rPr>
                <w:rFonts w:asciiTheme="majorHAnsi" w:hAnsiTheme="majorHAnsi"/>
              </w:rPr>
            </w:pPr>
            <w:r w:rsidRPr="006D3969">
              <w:rPr>
                <w:rFonts w:asciiTheme="majorHAnsi" w:hAnsiTheme="majorHAnsi"/>
              </w:rPr>
              <w:t xml:space="preserve">Follow up and provide necessary support on resolution of outstanding audit findings from earlier years and ensure appropriate adjustment /prior period entries in the financial statements. </w:t>
            </w:r>
          </w:p>
        </w:tc>
        <w:tc>
          <w:tcPr>
            <w:tcW w:w="1440" w:type="dxa"/>
          </w:tcPr>
          <w:p w:rsidR="00653DD3" w:rsidRPr="006D3969" w:rsidRDefault="00653DD3" w:rsidP="003C19AB">
            <w:pPr>
              <w:spacing w:before="120" w:after="120"/>
              <w:rPr>
                <w:rFonts w:asciiTheme="majorHAnsi" w:hAnsiTheme="majorHAnsi"/>
              </w:rPr>
            </w:pPr>
            <w:r w:rsidRPr="006D3969">
              <w:rPr>
                <w:rFonts w:asciiTheme="majorHAnsi" w:hAnsiTheme="majorHAnsi"/>
              </w:rPr>
              <w:t>Annually</w:t>
            </w:r>
          </w:p>
        </w:tc>
      </w:tr>
    </w:tbl>
    <w:p w:rsidR="00653DD3" w:rsidRPr="006D3969" w:rsidRDefault="00653DD3" w:rsidP="00653DD3">
      <w:pPr>
        <w:spacing w:before="120" w:after="120"/>
        <w:rPr>
          <w:rFonts w:asciiTheme="majorHAnsi" w:hAnsiTheme="majorHAnsi"/>
        </w:rPr>
      </w:pPr>
    </w:p>
    <w:p w:rsidR="002C7B6D" w:rsidRPr="006D3969" w:rsidRDefault="002C7B6D" w:rsidP="002C7B6D">
      <w:pPr>
        <w:spacing w:before="240"/>
        <w:jc w:val="both"/>
        <w:rPr>
          <w:rFonts w:asciiTheme="majorHAnsi" w:hAnsiTheme="majorHAnsi"/>
          <w:b/>
        </w:rPr>
      </w:pPr>
    </w:p>
    <w:sectPr w:rsidR="002C7B6D" w:rsidRPr="006D3969" w:rsidSect="00014BFA">
      <w:headerReference w:type="default" r:id="rId11"/>
      <w:footerReference w:type="even" r:id="rId12"/>
      <w:pgSz w:w="11907" w:h="16839" w:code="9"/>
      <w:pgMar w:top="1170" w:right="1440" w:bottom="108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C40" w:rsidRDefault="00AE1C40" w:rsidP="00EE2B01">
      <w:r>
        <w:separator/>
      </w:r>
    </w:p>
  </w:endnote>
  <w:endnote w:type="continuationSeparator" w:id="1">
    <w:p w:rsidR="00AE1C40" w:rsidRDefault="00AE1C40" w:rsidP="00EE2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28" w:rsidRDefault="00325AEC">
    <w:pPr>
      <w:pStyle w:val="Footer"/>
      <w:framePr w:wrap="around" w:vAnchor="text" w:hAnchor="margin" w:xAlign="right" w:y="1"/>
      <w:rPr>
        <w:rStyle w:val="PageNumber"/>
      </w:rPr>
    </w:pPr>
    <w:r>
      <w:rPr>
        <w:rStyle w:val="PageNumber"/>
      </w:rPr>
      <w:fldChar w:fldCharType="begin"/>
    </w:r>
    <w:r w:rsidR="00D12228">
      <w:rPr>
        <w:rStyle w:val="PageNumber"/>
      </w:rPr>
      <w:instrText xml:space="preserve">PAGE  </w:instrText>
    </w:r>
    <w:r>
      <w:rPr>
        <w:rStyle w:val="PageNumber"/>
      </w:rPr>
      <w:fldChar w:fldCharType="separate"/>
    </w:r>
    <w:r w:rsidR="00D12228">
      <w:rPr>
        <w:rStyle w:val="PageNumber"/>
        <w:noProof/>
      </w:rPr>
      <w:t>54</w:t>
    </w:r>
    <w:r>
      <w:rPr>
        <w:rStyle w:val="PageNumber"/>
      </w:rPr>
      <w:fldChar w:fldCharType="end"/>
    </w:r>
  </w:p>
  <w:p w:rsidR="00D12228" w:rsidRDefault="00D1222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C40" w:rsidRDefault="00AE1C40" w:rsidP="00EE2B01">
      <w:r>
        <w:separator/>
      </w:r>
    </w:p>
  </w:footnote>
  <w:footnote w:type="continuationSeparator" w:id="1">
    <w:p w:rsidR="00AE1C40" w:rsidRDefault="00AE1C40" w:rsidP="00EE2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228" w:rsidRDefault="00D12228">
    <w:pPr>
      <w:pStyle w:val="Header"/>
      <w:pBdr>
        <w:bottom w:val="single" w:sz="4" w:space="1" w:color="auto"/>
      </w:pBdr>
      <w:tabs>
        <w:tab w:val="clear" w:pos="4320"/>
        <w:tab w:val="clear" w:pos="8640"/>
        <w:tab w:val="right" w:pos="9000"/>
      </w:tabs>
    </w:pPr>
    <w:r>
      <w:tab/>
    </w:r>
    <w:r w:rsidR="00325AEC">
      <w:rPr>
        <w:rStyle w:val="PageNumber"/>
      </w:rPr>
      <w:fldChar w:fldCharType="begin"/>
    </w:r>
    <w:r>
      <w:rPr>
        <w:rStyle w:val="PageNumber"/>
      </w:rPr>
      <w:instrText xml:space="preserve"> PAGE </w:instrText>
    </w:r>
    <w:r w:rsidR="00325AEC">
      <w:rPr>
        <w:rStyle w:val="PageNumber"/>
      </w:rPr>
      <w:fldChar w:fldCharType="separate"/>
    </w:r>
    <w:r w:rsidR="0099536C">
      <w:rPr>
        <w:rStyle w:val="PageNumber"/>
        <w:noProof/>
      </w:rPr>
      <w:t>7</w:t>
    </w:r>
    <w:r w:rsidR="00325AEC">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E5A"/>
    <w:multiLevelType w:val="hybridMultilevel"/>
    <w:tmpl w:val="69F6673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0A5593A"/>
    <w:multiLevelType w:val="hybridMultilevel"/>
    <w:tmpl w:val="D8780682"/>
    <w:lvl w:ilvl="0" w:tplc="D7766252">
      <w:start w:val="1"/>
      <w:numFmt w:val="decimal"/>
      <w:lvlText w:val="%1."/>
      <w:lvlJc w:val="left"/>
      <w:pPr>
        <w:tabs>
          <w:tab w:val="num" w:pos="360"/>
        </w:tabs>
        <w:ind w:left="0" w:firstLine="0"/>
      </w:pPr>
      <w:rPr>
        <w:rFonts w:hint="default"/>
        <w:b w:val="0"/>
        <w:i w:val="0"/>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87806"/>
    <w:multiLevelType w:val="hybridMultilevel"/>
    <w:tmpl w:val="E81C0ED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568CCABC">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855E77"/>
    <w:multiLevelType w:val="hybridMultilevel"/>
    <w:tmpl w:val="AFF839B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8E43D7E"/>
    <w:multiLevelType w:val="hybridMultilevel"/>
    <w:tmpl w:val="567057CE"/>
    <w:lvl w:ilvl="0" w:tplc="B6E2A6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421E7"/>
    <w:multiLevelType w:val="multilevel"/>
    <w:tmpl w:val="A9B295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7E73841"/>
    <w:multiLevelType w:val="multilevel"/>
    <w:tmpl w:val="C38C5EDE"/>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735"/>
        </w:tabs>
        <w:ind w:left="735" w:hanging="555"/>
      </w:pPr>
      <w:rPr>
        <w:rFonts w:hint="default"/>
      </w:rPr>
    </w:lvl>
    <w:lvl w:ilvl="2">
      <w:start w:val="1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8B22816"/>
    <w:multiLevelType w:val="hybridMultilevel"/>
    <w:tmpl w:val="FD78A0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B41A4F"/>
    <w:multiLevelType w:val="hybridMultilevel"/>
    <w:tmpl w:val="08EA528C"/>
    <w:lvl w:ilvl="0" w:tplc="04090017">
      <w:start w:val="1"/>
      <w:numFmt w:val="lowerLetter"/>
      <w:lvlText w:val="%1)"/>
      <w:lvlJc w:val="left"/>
      <w:pPr>
        <w:tabs>
          <w:tab w:val="num" w:pos="1080"/>
        </w:tabs>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209F2301"/>
    <w:multiLevelType w:val="singleLevel"/>
    <w:tmpl w:val="CF4066E2"/>
    <w:lvl w:ilvl="0">
      <w:start w:val="1"/>
      <w:numFmt w:val="bullet"/>
      <w:lvlText w:val=""/>
      <w:lvlJc w:val="left"/>
      <w:pPr>
        <w:tabs>
          <w:tab w:val="num" w:pos="360"/>
        </w:tabs>
        <w:ind w:left="360" w:hanging="360"/>
      </w:pPr>
      <w:rPr>
        <w:rFonts w:ascii="Symbol" w:hAnsi="Symbol" w:hint="default"/>
      </w:rPr>
    </w:lvl>
  </w:abstractNum>
  <w:abstractNum w:abstractNumId="10">
    <w:nsid w:val="20C85F39"/>
    <w:multiLevelType w:val="hybridMultilevel"/>
    <w:tmpl w:val="7C22C63C"/>
    <w:lvl w:ilvl="0" w:tplc="F3048A56">
      <w:start w:val="1"/>
      <w:numFmt w:val="decimal"/>
      <w:lvlText w:val="%1."/>
      <w:lvlJc w:val="left"/>
      <w:pPr>
        <w:tabs>
          <w:tab w:val="num" w:pos="360"/>
        </w:tabs>
        <w:ind w:left="360" w:hanging="360"/>
      </w:pPr>
    </w:lvl>
    <w:lvl w:ilvl="1" w:tplc="26AC0B30">
      <w:start w:val="1"/>
      <w:numFmt w:val="upperLetter"/>
      <w:lvlText w:val="%2."/>
      <w:lvlJc w:val="left"/>
      <w:pPr>
        <w:tabs>
          <w:tab w:val="num" w:pos="1620"/>
        </w:tabs>
        <w:ind w:left="1620" w:hanging="90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1">
    <w:nsid w:val="2E970287"/>
    <w:multiLevelType w:val="hybridMultilevel"/>
    <w:tmpl w:val="08EA528C"/>
    <w:lvl w:ilvl="0" w:tplc="04090017">
      <w:start w:val="1"/>
      <w:numFmt w:val="lowerLetter"/>
      <w:lvlText w:val="%1)"/>
      <w:lvlJc w:val="left"/>
      <w:pPr>
        <w:tabs>
          <w:tab w:val="num" w:pos="1260"/>
        </w:tabs>
        <w:ind w:left="126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35897552"/>
    <w:multiLevelType w:val="hybridMultilevel"/>
    <w:tmpl w:val="51C446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D56382"/>
    <w:multiLevelType w:val="multilevel"/>
    <w:tmpl w:val="4948E5E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b/>
        <w:bCs/>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43456544"/>
    <w:multiLevelType w:val="hybridMultilevel"/>
    <w:tmpl w:val="3EFA51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4E844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AB54453"/>
    <w:multiLevelType w:val="hybridMultilevel"/>
    <w:tmpl w:val="83D2811E"/>
    <w:lvl w:ilvl="0" w:tplc="6458FEAA">
      <w:start w:val="1"/>
      <w:numFmt w:val="decimal"/>
      <w:lvlText w:val="%1."/>
      <w:lvlJc w:val="left"/>
      <w:pPr>
        <w:ind w:left="360" w:hanging="360"/>
      </w:pPr>
      <w:rPr>
        <w:rFonts w:hint="default"/>
        <w:b w:val="0"/>
        <w:i w:val="0"/>
      </w:rPr>
    </w:lvl>
    <w:lvl w:ilvl="1" w:tplc="997217C4">
      <w:start w:val="1"/>
      <w:numFmt w:val="decimal"/>
      <w:lvlText w:val="%2."/>
      <w:lvlJc w:val="left"/>
      <w:pPr>
        <w:tabs>
          <w:tab w:val="num" w:pos="1440"/>
        </w:tabs>
        <w:ind w:left="1440" w:hanging="360"/>
      </w:pPr>
    </w:lvl>
    <w:lvl w:ilvl="2" w:tplc="26DE971C">
      <w:start w:val="1"/>
      <w:numFmt w:val="decimal"/>
      <w:lvlText w:val="%3."/>
      <w:lvlJc w:val="left"/>
      <w:pPr>
        <w:tabs>
          <w:tab w:val="num" w:pos="2160"/>
        </w:tabs>
        <w:ind w:left="2160" w:hanging="360"/>
      </w:pPr>
    </w:lvl>
    <w:lvl w:ilvl="3" w:tplc="B64031CE">
      <w:start w:val="1"/>
      <w:numFmt w:val="decimal"/>
      <w:lvlText w:val="%4."/>
      <w:lvlJc w:val="left"/>
      <w:pPr>
        <w:tabs>
          <w:tab w:val="num" w:pos="2880"/>
        </w:tabs>
        <w:ind w:left="2880" w:hanging="360"/>
      </w:pPr>
    </w:lvl>
    <w:lvl w:ilvl="4" w:tplc="F952630E">
      <w:start w:val="1"/>
      <w:numFmt w:val="decimal"/>
      <w:lvlText w:val="%5."/>
      <w:lvlJc w:val="left"/>
      <w:pPr>
        <w:tabs>
          <w:tab w:val="num" w:pos="3600"/>
        </w:tabs>
        <w:ind w:left="3600" w:hanging="360"/>
      </w:pPr>
    </w:lvl>
    <w:lvl w:ilvl="5" w:tplc="7E3C574E">
      <w:start w:val="1"/>
      <w:numFmt w:val="decimal"/>
      <w:lvlText w:val="%6."/>
      <w:lvlJc w:val="left"/>
      <w:pPr>
        <w:tabs>
          <w:tab w:val="num" w:pos="4320"/>
        </w:tabs>
        <w:ind w:left="4320" w:hanging="360"/>
      </w:pPr>
    </w:lvl>
    <w:lvl w:ilvl="6" w:tplc="DF1E0EB8">
      <w:start w:val="1"/>
      <w:numFmt w:val="decimal"/>
      <w:lvlText w:val="%7."/>
      <w:lvlJc w:val="left"/>
      <w:pPr>
        <w:tabs>
          <w:tab w:val="num" w:pos="5040"/>
        </w:tabs>
        <w:ind w:left="5040" w:hanging="360"/>
      </w:pPr>
    </w:lvl>
    <w:lvl w:ilvl="7" w:tplc="2BD4D09A">
      <w:start w:val="1"/>
      <w:numFmt w:val="decimal"/>
      <w:lvlText w:val="%8."/>
      <w:lvlJc w:val="left"/>
      <w:pPr>
        <w:tabs>
          <w:tab w:val="num" w:pos="5760"/>
        </w:tabs>
        <w:ind w:left="5760" w:hanging="360"/>
      </w:pPr>
    </w:lvl>
    <w:lvl w:ilvl="8" w:tplc="42F03D4C">
      <w:start w:val="1"/>
      <w:numFmt w:val="decimal"/>
      <w:lvlText w:val="%9."/>
      <w:lvlJc w:val="left"/>
      <w:pPr>
        <w:tabs>
          <w:tab w:val="num" w:pos="6480"/>
        </w:tabs>
        <w:ind w:left="6480" w:hanging="360"/>
      </w:pPr>
    </w:lvl>
  </w:abstractNum>
  <w:abstractNum w:abstractNumId="17">
    <w:nsid w:val="4FDC6CE7"/>
    <w:multiLevelType w:val="hybridMultilevel"/>
    <w:tmpl w:val="2FB8174E"/>
    <w:lvl w:ilvl="0" w:tplc="1CA89C6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D5287"/>
    <w:multiLevelType w:val="hybridMultilevel"/>
    <w:tmpl w:val="83CA73B6"/>
    <w:lvl w:ilvl="0" w:tplc="C4429C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C77E4C"/>
    <w:multiLevelType w:val="multilevel"/>
    <w:tmpl w:val="0290B07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8D23CBC"/>
    <w:multiLevelType w:val="hybridMultilevel"/>
    <w:tmpl w:val="544A366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2520"/>
        </w:tabs>
        <w:ind w:left="2520" w:hanging="720"/>
      </w:pPr>
    </w:lvl>
    <w:lvl w:ilvl="2" w:tplc="FFFFFFFF">
      <w:start w:val="1"/>
      <w:numFmt w:val="upperRoman"/>
      <w:lvlText w:val="%3."/>
      <w:lvlJc w:val="left"/>
      <w:pPr>
        <w:tabs>
          <w:tab w:val="num" w:pos="3705"/>
        </w:tabs>
        <w:ind w:left="3705" w:hanging="1005"/>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5E8A23E3"/>
    <w:multiLevelType w:val="hybridMultilevel"/>
    <w:tmpl w:val="07DCEE0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ECD3607"/>
    <w:multiLevelType w:val="multilevel"/>
    <w:tmpl w:val="BA24846C"/>
    <w:lvl w:ilvl="0">
      <w:start w:val="3"/>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49039F6"/>
    <w:multiLevelType w:val="hybridMultilevel"/>
    <w:tmpl w:val="7DF6E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3A7CF0"/>
    <w:multiLevelType w:val="multilevel"/>
    <w:tmpl w:val="BF2A279E"/>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5">
    <w:nsid w:val="67D361F5"/>
    <w:multiLevelType w:val="hybridMultilevel"/>
    <w:tmpl w:val="9E3C0DD0"/>
    <w:lvl w:ilvl="0" w:tplc="4D30A33C">
      <w:start w:val="1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A7F4A2E"/>
    <w:multiLevelType w:val="hybridMultilevel"/>
    <w:tmpl w:val="3DCACAEA"/>
    <w:lvl w:ilvl="0" w:tplc="1B94755E">
      <w:start w:val="1"/>
      <w:numFmt w:val="lowerRoman"/>
      <w:lvlText w:val="(%1)"/>
      <w:lvlJc w:val="left"/>
      <w:pPr>
        <w:tabs>
          <w:tab w:val="num" w:pos="1080"/>
        </w:tabs>
        <w:ind w:left="10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7">
    <w:nsid w:val="6EDB0F09"/>
    <w:multiLevelType w:val="hybridMultilevel"/>
    <w:tmpl w:val="F2E86ED0"/>
    <w:lvl w:ilvl="0" w:tplc="4D0E62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2A5525"/>
    <w:multiLevelType w:val="multilevel"/>
    <w:tmpl w:val="4808BE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FE11F6F"/>
    <w:multiLevelType w:val="hybridMultilevel"/>
    <w:tmpl w:val="434AFC94"/>
    <w:lvl w:ilvl="0" w:tplc="04090001">
      <w:start w:val="1"/>
      <w:numFmt w:val="bullet"/>
      <w:lvlText w:val=""/>
      <w:lvlJc w:val="left"/>
      <w:pPr>
        <w:ind w:left="2033" w:hanging="360"/>
      </w:pPr>
      <w:rPr>
        <w:rFonts w:ascii="Symbol" w:hAnsi="Symbo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7"/>
  </w:num>
  <w:num w:numId="2">
    <w:abstractNumId w:val="23"/>
  </w:num>
  <w:num w:numId="3">
    <w:abstractNumId w:val="26"/>
  </w:num>
  <w:num w:numId="4">
    <w:abstractNumId w:val="2"/>
  </w:num>
  <w:num w:numId="5">
    <w:abstractNumId w:val="3"/>
  </w:num>
  <w:num w:numId="6">
    <w:abstractNumId w:val="21"/>
  </w:num>
  <w:num w:numId="7">
    <w:abstractNumId w:val="17"/>
  </w:num>
  <w:num w:numId="8">
    <w:abstractNumId w:val="0"/>
  </w:num>
  <w:num w:numId="9">
    <w:abstractNumId w:val="13"/>
  </w:num>
  <w:num w:numId="10">
    <w:abstractNumId w:val="6"/>
  </w:num>
  <w:num w:numId="11">
    <w:abstractNumId w:val="24"/>
  </w:num>
  <w:num w:numId="12">
    <w:abstractNumId w:val="5"/>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28"/>
  </w:num>
  <w:num w:numId="17">
    <w:abstractNumId w:val="22"/>
  </w:num>
  <w:num w:numId="18">
    <w:abstractNumId w:val="1"/>
  </w:num>
  <w:num w:numId="19">
    <w:abstractNumId w:val="16"/>
  </w:num>
  <w:num w:numId="20">
    <w:abstractNumId w:val="27"/>
  </w:num>
  <w:num w:numId="21">
    <w:abstractNumId w:val="4"/>
  </w:num>
  <w:num w:numId="22">
    <w:abstractNumId w:val="18"/>
  </w:num>
  <w:num w:numId="23">
    <w:abstractNumId w:val="19"/>
  </w:num>
  <w:num w:numId="24">
    <w:abstractNumId w:val="12"/>
  </w:num>
  <w:num w:numId="25">
    <w:abstractNumId w:val="10"/>
  </w:num>
  <w:num w:numId="26">
    <w:abstractNumId w:val="14"/>
  </w:num>
  <w:num w:numId="27">
    <w:abstractNumId w:val="11"/>
  </w:num>
  <w:num w:numId="28">
    <w:abstractNumId w:val="8"/>
  </w:num>
  <w:num w:numId="29">
    <w:abstractNumId w:val="2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181"/>
  <w:displayHorizontalDrawingGridEvery w:val="2"/>
  <w:characterSpacingControl w:val="doNotCompress"/>
  <w:footnotePr>
    <w:footnote w:id="0"/>
    <w:footnote w:id="1"/>
  </w:footnotePr>
  <w:endnotePr>
    <w:endnote w:id="0"/>
    <w:endnote w:id="1"/>
  </w:endnotePr>
  <w:compat/>
  <w:rsids>
    <w:rsidRoot w:val="00EE2B01"/>
    <w:rsid w:val="00000682"/>
    <w:rsid w:val="00001A2B"/>
    <w:rsid w:val="000043DB"/>
    <w:rsid w:val="00005B13"/>
    <w:rsid w:val="00006447"/>
    <w:rsid w:val="000114AE"/>
    <w:rsid w:val="000121DC"/>
    <w:rsid w:val="00014BFA"/>
    <w:rsid w:val="00023995"/>
    <w:rsid w:val="00024AF9"/>
    <w:rsid w:val="00024D36"/>
    <w:rsid w:val="0003407B"/>
    <w:rsid w:val="00047213"/>
    <w:rsid w:val="0005394B"/>
    <w:rsid w:val="00057A26"/>
    <w:rsid w:val="00061CFE"/>
    <w:rsid w:val="00067CC6"/>
    <w:rsid w:val="00084ABB"/>
    <w:rsid w:val="00084D46"/>
    <w:rsid w:val="00090840"/>
    <w:rsid w:val="000927FE"/>
    <w:rsid w:val="000A6A75"/>
    <w:rsid w:val="000A6B1B"/>
    <w:rsid w:val="000A7046"/>
    <w:rsid w:val="000B484A"/>
    <w:rsid w:val="000B7286"/>
    <w:rsid w:val="000D26BA"/>
    <w:rsid w:val="000D5745"/>
    <w:rsid w:val="000D7F00"/>
    <w:rsid w:val="000E2B52"/>
    <w:rsid w:val="000E43AC"/>
    <w:rsid w:val="000E54F6"/>
    <w:rsid w:val="000F3D81"/>
    <w:rsid w:val="00101636"/>
    <w:rsid w:val="00102AD6"/>
    <w:rsid w:val="001058EA"/>
    <w:rsid w:val="00117590"/>
    <w:rsid w:val="0013026E"/>
    <w:rsid w:val="00130DFA"/>
    <w:rsid w:val="001324F6"/>
    <w:rsid w:val="0015292E"/>
    <w:rsid w:val="00162292"/>
    <w:rsid w:val="0016665F"/>
    <w:rsid w:val="00166F86"/>
    <w:rsid w:val="00176A05"/>
    <w:rsid w:val="00177C44"/>
    <w:rsid w:val="00191EB1"/>
    <w:rsid w:val="001B1000"/>
    <w:rsid w:val="001B20FC"/>
    <w:rsid w:val="001B296A"/>
    <w:rsid w:val="001B2F85"/>
    <w:rsid w:val="001B56D0"/>
    <w:rsid w:val="001C29DF"/>
    <w:rsid w:val="001D0F08"/>
    <w:rsid w:val="001D275E"/>
    <w:rsid w:val="001D5BB6"/>
    <w:rsid w:val="001E23F5"/>
    <w:rsid w:val="001E4827"/>
    <w:rsid w:val="001E78EF"/>
    <w:rsid w:val="002010C5"/>
    <w:rsid w:val="002041E8"/>
    <w:rsid w:val="002050FB"/>
    <w:rsid w:val="002129BB"/>
    <w:rsid w:val="00213E00"/>
    <w:rsid w:val="002148AB"/>
    <w:rsid w:val="00214906"/>
    <w:rsid w:val="00221147"/>
    <w:rsid w:val="00221189"/>
    <w:rsid w:val="00234EC3"/>
    <w:rsid w:val="00242B13"/>
    <w:rsid w:val="00245D7F"/>
    <w:rsid w:val="00262B3F"/>
    <w:rsid w:val="00264944"/>
    <w:rsid w:val="00267F2A"/>
    <w:rsid w:val="00274ACB"/>
    <w:rsid w:val="002759B5"/>
    <w:rsid w:val="00293230"/>
    <w:rsid w:val="0029418D"/>
    <w:rsid w:val="00297843"/>
    <w:rsid w:val="002A0864"/>
    <w:rsid w:val="002B10D1"/>
    <w:rsid w:val="002B26D7"/>
    <w:rsid w:val="002B2FAC"/>
    <w:rsid w:val="002C7B6D"/>
    <w:rsid w:val="002E5BAE"/>
    <w:rsid w:val="002E6093"/>
    <w:rsid w:val="002F0501"/>
    <w:rsid w:val="00307F76"/>
    <w:rsid w:val="00325AEC"/>
    <w:rsid w:val="0033620C"/>
    <w:rsid w:val="003406F3"/>
    <w:rsid w:val="00341F92"/>
    <w:rsid w:val="0034290F"/>
    <w:rsid w:val="0034583E"/>
    <w:rsid w:val="003539DC"/>
    <w:rsid w:val="00355E18"/>
    <w:rsid w:val="00355FBA"/>
    <w:rsid w:val="00356C9E"/>
    <w:rsid w:val="00362357"/>
    <w:rsid w:val="00365DFF"/>
    <w:rsid w:val="003735E9"/>
    <w:rsid w:val="00381BBC"/>
    <w:rsid w:val="003861E5"/>
    <w:rsid w:val="00391B5A"/>
    <w:rsid w:val="003A2562"/>
    <w:rsid w:val="003A4100"/>
    <w:rsid w:val="003B4AEF"/>
    <w:rsid w:val="003C0453"/>
    <w:rsid w:val="003C19AB"/>
    <w:rsid w:val="003C200A"/>
    <w:rsid w:val="003D00F8"/>
    <w:rsid w:val="003D5B42"/>
    <w:rsid w:val="003D67BA"/>
    <w:rsid w:val="003D747F"/>
    <w:rsid w:val="003D74DE"/>
    <w:rsid w:val="003E1AE9"/>
    <w:rsid w:val="003E5769"/>
    <w:rsid w:val="003E6F1D"/>
    <w:rsid w:val="003F05FC"/>
    <w:rsid w:val="003F4CF0"/>
    <w:rsid w:val="003F5018"/>
    <w:rsid w:val="00401127"/>
    <w:rsid w:val="004040A3"/>
    <w:rsid w:val="004048CA"/>
    <w:rsid w:val="00422517"/>
    <w:rsid w:val="004328AB"/>
    <w:rsid w:val="00437816"/>
    <w:rsid w:val="00437CE6"/>
    <w:rsid w:val="00440E0E"/>
    <w:rsid w:val="00454501"/>
    <w:rsid w:val="00467B23"/>
    <w:rsid w:val="0047442A"/>
    <w:rsid w:val="0048074F"/>
    <w:rsid w:val="0048174C"/>
    <w:rsid w:val="00492FD2"/>
    <w:rsid w:val="004947EF"/>
    <w:rsid w:val="004A1D28"/>
    <w:rsid w:val="004A1EFD"/>
    <w:rsid w:val="004A4113"/>
    <w:rsid w:val="004B31B7"/>
    <w:rsid w:val="004B6485"/>
    <w:rsid w:val="004C20BC"/>
    <w:rsid w:val="004C360A"/>
    <w:rsid w:val="004C47AC"/>
    <w:rsid w:val="004C5B10"/>
    <w:rsid w:val="004C7994"/>
    <w:rsid w:val="004D1499"/>
    <w:rsid w:val="004D414E"/>
    <w:rsid w:val="004D7EAD"/>
    <w:rsid w:val="004E54C6"/>
    <w:rsid w:val="004F418A"/>
    <w:rsid w:val="004F6841"/>
    <w:rsid w:val="00506BF5"/>
    <w:rsid w:val="00506FC6"/>
    <w:rsid w:val="0051508D"/>
    <w:rsid w:val="00520CA9"/>
    <w:rsid w:val="00523200"/>
    <w:rsid w:val="005250A1"/>
    <w:rsid w:val="0053088F"/>
    <w:rsid w:val="00547AD7"/>
    <w:rsid w:val="005530F8"/>
    <w:rsid w:val="005574B6"/>
    <w:rsid w:val="005608F2"/>
    <w:rsid w:val="00573D6E"/>
    <w:rsid w:val="00575D77"/>
    <w:rsid w:val="00577AE4"/>
    <w:rsid w:val="00581B1A"/>
    <w:rsid w:val="0058453A"/>
    <w:rsid w:val="00584DF6"/>
    <w:rsid w:val="00585802"/>
    <w:rsid w:val="005877DD"/>
    <w:rsid w:val="005A0565"/>
    <w:rsid w:val="005A2B91"/>
    <w:rsid w:val="005B340D"/>
    <w:rsid w:val="005B4130"/>
    <w:rsid w:val="005B45C4"/>
    <w:rsid w:val="005C2DCA"/>
    <w:rsid w:val="005C526A"/>
    <w:rsid w:val="005D1239"/>
    <w:rsid w:val="005D33CA"/>
    <w:rsid w:val="005D3D52"/>
    <w:rsid w:val="005D5695"/>
    <w:rsid w:val="005E14AB"/>
    <w:rsid w:val="005E1AA3"/>
    <w:rsid w:val="005E1B77"/>
    <w:rsid w:val="005E78EE"/>
    <w:rsid w:val="005F3D7A"/>
    <w:rsid w:val="005F46E5"/>
    <w:rsid w:val="00613ECA"/>
    <w:rsid w:val="00615A7F"/>
    <w:rsid w:val="006220E9"/>
    <w:rsid w:val="00625285"/>
    <w:rsid w:val="00637F13"/>
    <w:rsid w:val="00653DD3"/>
    <w:rsid w:val="0066040D"/>
    <w:rsid w:val="00661315"/>
    <w:rsid w:val="00661AA7"/>
    <w:rsid w:val="00662976"/>
    <w:rsid w:val="006759D4"/>
    <w:rsid w:val="00690DC1"/>
    <w:rsid w:val="00695B73"/>
    <w:rsid w:val="006B69A1"/>
    <w:rsid w:val="006B6E83"/>
    <w:rsid w:val="006C02E4"/>
    <w:rsid w:val="006C2727"/>
    <w:rsid w:val="006C3AE3"/>
    <w:rsid w:val="006D0CEC"/>
    <w:rsid w:val="006D3969"/>
    <w:rsid w:val="006E30DB"/>
    <w:rsid w:val="006E3CCB"/>
    <w:rsid w:val="006E7E1A"/>
    <w:rsid w:val="006F1429"/>
    <w:rsid w:val="006F5315"/>
    <w:rsid w:val="006F5EF6"/>
    <w:rsid w:val="006F790D"/>
    <w:rsid w:val="007013F8"/>
    <w:rsid w:val="007035DE"/>
    <w:rsid w:val="00707040"/>
    <w:rsid w:val="0071046F"/>
    <w:rsid w:val="00715C6D"/>
    <w:rsid w:val="00727750"/>
    <w:rsid w:val="007361AF"/>
    <w:rsid w:val="0073661D"/>
    <w:rsid w:val="00744878"/>
    <w:rsid w:val="00751EA3"/>
    <w:rsid w:val="007542E1"/>
    <w:rsid w:val="00757F2C"/>
    <w:rsid w:val="00765C23"/>
    <w:rsid w:val="007728DE"/>
    <w:rsid w:val="0078025A"/>
    <w:rsid w:val="0078139B"/>
    <w:rsid w:val="00783D59"/>
    <w:rsid w:val="00785995"/>
    <w:rsid w:val="0079040D"/>
    <w:rsid w:val="00791B9C"/>
    <w:rsid w:val="00795D8E"/>
    <w:rsid w:val="007B46D4"/>
    <w:rsid w:val="007C09C1"/>
    <w:rsid w:val="007C0AFE"/>
    <w:rsid w:val="007D10C4"/>
    <w:rsid w:val="007D7199"/>
    <w:rsid w:val="007F4D6A"/>
    <w:rsid w:val="007F4F80"/>
    <w:rsid w:val="007F6F80"/>
    <w:rsid w:val="0080050C"/>
    <w:rsid w:val="00810049"/>
    <w:rsid w:val="008104D6"/>
    <w:rsid w:val="00811489"/>
    <w:rsid w:val="00814455"/>
    <w:rsid w:val="0081590C"/>
    <w:rsid w:val="00822011"/>
    <w:rsid w:val="00823709"/>
    <w:rsid w:val="008310F7"/>
    <w:rsid w:val="008326E1"/>
    <w:rsid w:val="00832CA3"/>
    <w:rsid w:val="00833E58"/>
    <w:rsid w:val="008370CE"/>
    <w:rsid w:val="008438C2"/>
    <w:rsid w:val="00846BC5"/>
    <w:rsid w:val="00847A4E"/>
    <w:rsid w:val="00847B3F"/>
    <w:rsid w:val="0085526C"/>
    <w:rsid w:val="0086083A"/>
    <w:rsid w:val="00872FC2"/>
    <w:rsid w:val="0088108E"/>
    <w:rsid w:val="008810BE"/>
    <w:rsid w:val="00882FA4"/>
    <w:rsid w:val="008921DE"/>
    <w:rsid w:val="00893F74"/>
    <w:rsid w:val="008967EC"/>
    <w:rsid w:val="008A53EF"/>
    <w:rsid w:val="008B0921"/>
    <w:rsid w:val="008D1B26"/>
    <w:rsid w:val="008D66AC"/>
    <w:rsid w:val="008E2011"/>
    <w:rsid w:val="008F1D21"/>
    <w:rsid w:val="008F7FEC"/>
    <w:rsid w:val="00902F49"/>
    <w:rsid w:val="009267FC"/>
    <w:rsid w:val="00931383"/>
    <w:rsid w:val="00940862"/>
    <w:rsid w:val="00942177"/>
    <w:rsid w:val="00946704"/>
    <w:rsid w:val="0095301E"/>
    <w:rsid w:val="0095438B"/>
    <w:rsid w:val="00954FC7"/>
    <w:rsid w:val="009602A4"/>
    <w:rsid w:val="00966B1A"/>
    <w:rsid w:val="009701A5"/>
    <w:rsid w:val="009823A1"/>
    <w:rsid w:val="00994557"/>
    <w:rsid w:val="00994BBE"/>
    <w:rsid w:val="0099536C"/>
    <w:rsid w:val="009A10AD"/>
    <w:rsid w:val="009A569C"/>
    <w:rsid w:val="009B0E37"/>
    <w:rsid w:val="009B1FB7"/>
    <w:rsid w:val="009B7F3E"/>
    <w:rsid w:val="009D591E"/>
    <w:rsid w:val="009D7778"/>
    <w:rsid w:val="009D7C6D"/>
    <w:rsid w:val="009E1478"/>
    <w:rsid w:val="009E3236"/>
    <w:rsid w:val="009E34E1"/>
    <w:rsid w:val="009F0CCA"/>
    <w:rsid w:val="009F145F"/>
    <w:rsid w:val="00A022B6"/>
    <w:rsid w:val="00A04788"/>
    <w:rsid w:val="00A05D63"/>
    <w:rsid w:val="00A10CD8"/>
    <w:rsid w:val="00A12BCB"/>
    <w:rsid w:val="00A23035"/>
    <w:rsid w:val="00A46467"/>
    <w:rsid w:val="00A46AA8"/>
    <w:rsid w:val="00A476A4"/>
    <w:rsid w:val="00A52177"/>
    <w:rsid w:val="00A6102B"/>
    <w:rsid w:val="00A638C0"/>
    <w:rsid w:val="00A63CCF"/>
    <w:rsid w:val="00A74FAE"/>
    <w:rsid w:val="00A823C7"/>
    <w:rsid w:val="00A86491"/>
    <w:rsid w:val="00A875B8"/>
    <w:rsid w:val="00A94600"/>
    <w:rsid w:val="00AA4180"/>
    <w:rsid w:val="00AA57C6"/>
    <w:rsid w:val="00AA712B"/>
    <w:rsid w:val="00AB701E"/>
    <w:rsid w:val="00AC0064"/>
    <w:rsid w:val="00AC4533"/>
    <w:rsid w:val="00AC63F4"/>
    <w:rsid w:val="00AC760A"/>
    <w:rsid w:val="00AC7870"/>
    <w:rsid w:val="00AD5A84"/>
    <w:rsid w:val="00AE0F76"/>
    <w:rsid w:val="00AE1458"/>
    <w:rsid w:val="00AE1C40"/>
    <w:rsid w:val="00AE741E"/>
    <w:rsid w:val="00AF0128"/>
    <w:rsid w:val="00AF3F4F"/>
    <w:rsid w:val="00AF4A60"/>
    <w:rsid w:val="00AF5C70"/>
    <w:rsid w:val="00B2225D"/>
    <w:rsid w:val="00B25399"/>
    <w:rsid w:val="00B3426E"/>
    <w:rsid w:val="00B36A8C"/>
    <w:rsid w:val="00B427ED"/>
    <w:rsid w:val="00B46A04"/>
    <w:rsid w:val="00B5284F"/>
    <w:rsid w:val="00B66502"/>
    <w:rsid w:val="00B66AFF"/>
    <w:rsid w:val="00B71551"/>
    <w:rsid w:val="00B72857"/>
    <w:rsid w:val="00B767A1"/>
    <w:rsid w:val="00B830F1"/>
    <w:rsid w:val="00B836DA"/>
    <w:rsid w:val="00B9694A"/>
    <w:rsid w:val="00BA02C6"/>
    <w:rsid w:val="00BA0568"/>
    <w:rsid w:val="00BA2632"/>
    <w:rsid w:val="00BA51CE"/>
    <w:rsid w:val="00BB0E1A"/>
    <w:rsid w:val="00BB266E"/>
    <w:rsid w:val="00BC4C36"/>
    <w:rsid w:val="00BD0809"/>
    <w:rsid w:val="00BD1100"/>
    <w:rsid w:val="00BD11EB"/>
    <w:rsid w:val="00BE11A6"/>
    <w:rsid w:val="00BE6341"/>
    <w:rsid w:val="00BF4C7D"/>
    <w:rsid w:val="00BF745E"/>
    <w:rsid w:val="00C01C4C"/>
    <w:rsid w:val="00C123C9"/>
    <w:rsid w:val="00C14B5C"/>
    <w:rsid w:val="00C21940"/>
    <w:rsid w:val="00C24172"/>
    <w:rsid w:val="00C36D93"/>
    <w:rsid w:val="00C41791"/>
    <w:rsid w:val="00C426AA"/>
    <w:rsid w:val="00C4680A"/>
    <w:rsid w:val="00C71C9C"/>
    <w:rsid w:val="00C730B1"/>
    <w:rsid w:val="00C73A3D"/>
    <w:rsid w:val="00C76601"/>
    <w:rsid w:val="00C80FCE"/>
    <w:rsid w:val="00C810F4"/>
    <w:rsid w:val="00C81355"/>
    <w:rsid w:val="00C949D7"/>
    <w:rsid w:val="00C96F74"/>
    <w:rsid w:val="00CA35CC"/>
    <w:rsid w:val="00CA4982"/>
    <w:rsid w:val="00CA66A4"/>
    <w:rsid w:val="00CA7DE0"/>
    <w:rsid w:val="00CB7C0A"/>
    <w:rsid w:val="00CC72F6"/>
    <w:rsid w:val="00CD1F19"/>
    <w:rsid w:val="00CD5B09"/>
    <w:rsid w:val="00CE7C5E"/>
    <w:rsid w:val="00CF1CA4"/>
    <w:rsid w:val="00CF2B8B"/>
    <w:rsid w:val="00CF3DCA"/>
    <w:rsid w:val="00D0391F"/>
    <w:rsid w:val="00D06B58"/>
    <w:rsid w:val="00D12228"/>
    <w:rsid w:val="00D12C63"/>
    <w:rsid w:val="00D21593"/>
    <w:rsid w:val="00D22867"/>
    <w:rsid w:val="00D25490"/>
    <w:rsid w:val="00D30F85"/>
    <w:rsid w:val="00D611AD"/>
    <w:rsid w:val="00D645F4"/>
    <w:rsid w:val="00D87B29"/>
    <w:rsid w:val="00D939A0"/>
    <w:rsid w:val="00DA07F6"/>
    <w:rsid w:val="00DA1AFE"/>
    <w:rsid w:val="00DB4C0E"/>
    <w:rsid w:val="00DB4C90"/>
    <w:rsid w:val="00DC3174"/>
    <w:rsid w:val="00DC3F0F"/>
    <w:rsid w:val="00DC61AC"/>
    <w:rsid w:val="00DC7956"/>
    <w:rsid w:val="00DD17D1"/>
    <w:rsid w:val="00DD42B9"/>
    <w:rsid w:val="00DE08D3"/>
    <w:rsid w:val="00DE3544"/>
    <w:rsid w:val="00DE4D4A"/>
    <w:rsid w:val="00DE5E53"/>
    <w:rsid w:val="00DF0028"/>
    <w:rsid w:val="00DF09C5"/>
    <w:rsid w:val="00DF32FF"/>
    <w:rsid w:val="00E0186D"/>
    <w:rsid w:val="00E0231D"/>
    <w:rsid w:val="00E158F9"/>
    <w:rsid w:val="00E1690E"/>
    <w:rsid w:val="00E20D27"/>
    <w:rsid w:val="00E20EEE"/>
    <w:rsid w:val="00E20F7D"/>
    <w:rsid w:val="00E218DF"/>
    <w:rsid w:val="00E25268"/>
    <w:rsid w:val="00E3129F"/>
    <w:rsid w:val="00E34D72"/>
    <w:rsid w:val="00E40B5C"/>
    <w:rsid w:val="00E41DC7"/>
    <w:rsid w:val="00E447EC"/>
    <w:rsid w:val="00E462DE"/>
    <w:rsid w:val="00E47A0C"/>
    <w:rsid w:val="00E47B46"/>
    <w:rsid w:val="00E60FFD"/>
    <w:rsid w:val="00E6638E"/>
    <w:rsid w:val="00E700E3"/>
    <w:rsid w:val="00E77170"/>
    <w:rsid w:val="00E80096"/>
    <w:rsid w:val="00E82F27"/>
    <w:rsid w:val="00E94F3F"/>
    <w:rsid w:val="00E97F99"/>
    <w:rsid w:val="00EC25FD"/>
    <w:rsid w:val="00ED410B"/>
    <w:rsid w:val="00ED56CD"/>
    <w:rsid w:val="00EE01A7"/>
    <w:rsid w:val="00EE2B01"/>
    <w:rsid w:val="00EE2ED0"/>
    <w:rsid w:val="00EE30BA"/>
    <w:rsid w:val="00EE4A0E"/>
    <w:rsid w:val="00EE7551"/>
    <w:rsid w:val="00EE7ADC"/>
    <w:rsid w:val="00F04569"/>
    <w:rsid w:val="00F12251"/>
    <w:rsid w:val="00F13908"/>
    <w:rsid w:val="00F16E16"/>
    <w:rsid w:val="00F2248D"/>
    <w:rsid w:val="00F24ED2"/>
    <w:rsid w:val="00F3511A"/>
    <w:rsid w:val="00F42AC2"/>
    <w:rsid w:val="00F45E99"/>
    <w:rsid w:val="00F56924"/>
    <w:rsid w:val="00F64117"/>
    <w:rsid w:val="00F661D3"/>
    <w:rsid w:val="00F70DFA"/>
    <w:rsid w:val="00F73B37"/>
    <w:rsid w:val="00F8155E"/>
    <w:rsid w:val="00F874C9"/>
    <w:rsid w:val="00F925CA"/>
    <w:rsid w:val="00F92929"/>
    <w:rsid w:val="00F930C1"/>
    <w:rsid w:val="00F941DB"/>
    <w:rsid w:val="00FA4F85"/>
    <w:rsid w:val="00FB0967"/>
    <w:rsid w:val="00FB3BBC"/>
    <w:rsid w:val="00FD0263"/>
    <w:rsid w:val="00FD43FC"/>
    <w:rsid w:val="00FE192A"/>
    <w:rsid w:val="00FE26B5"/>
    <w:rsid w:val="00FE7849"/>
    <w:rsid w:val="00FF0268"/>
    <w:rsid w:val="00FF1768"/>
    <w:rsid w:val="00FF4DD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01"/>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EE2B01"/>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B01"/>
    <w:rPr>
      <w:rFonts w:ascii="Times New Roman Bold" w:eastAsia="Times New Roman" w:hAnsi="Times New Roman Bold" w:cs="Times New Roman"/>
      <w:b/>
      <w:sz w:val="32"/>
      <w:lang w:bidi="ar-SA"/>
    </w:rPr>
  </w:style>
  <w:style w:type="paragraph" w:styleId="BodyText">
    <w:name w:val="Body Text"/>
    <w:basedOn w:val="Normal"/>
    <w:link w:val="BodyTextChar"/>
    <w:rsid w:val="00EE2B01"/>
    <w:pPr>
      <w:suppressAutoHyphens/>
      <w:spacing w:after="120"/>
      <w:jc w:val="both"/>
    </w:pPr>
    <w:rPr>
      <w:szCs w:val="20"/>
    </w:rPr>
  </w:style>
  <w:style w:type="character" w:customStyle="1" w:styleId="BodyTextChar">
    <w:name w:val="Body Text Char"/>
    <w:basedOn w:val="DefaultParagraphFont"/>
    <w:link w:val="BodyText"/>
    <w:rsid w:val="00EE2B01"/>
    <w:rPr>
      <w:rFonts w:ascii="Times New Roman" w:eastAsia="Times New Roman" w:hAnsi="Times New Roman" w:cs="Times New Roman"/>
      <w:sz w:val="24"/>
      <w:lang w:bidi="ar-SA"/>
    </w:rPr>
  </w:style>
  <w:style w:type="paragraph" w:styleId="FootnoteText">
    <w:name w:val="footnote text"/>
    <w:aliases w:val="ft"/>
    <w:basedOn w:val="Normal"/>
    <w:link w:val="FootnoteTextChar"/>
    <w:semiHidden/>
    <w:rsid w:val="00EE2B01"/>
    <w:rPr>
      <w:sz w:val="20"/>
      <w:szCs w:val="20"/>
    </w:rPr>
  </w:style>
  <w:style w:type="character" w:customStyle="1" w:styleId="FootnoteTextChar">
    <w:name w:val="Footnote Text Char"/>
    <w:aliases w:val="ft Char"/>
    <w:basedOn w:val="DefaultParagraphFont"/>
    <w:link w:val="FootnoteText"/>
    <w:semiHidden/>
    <w:rsid w:val="00EE2B01"/>
    <w:rPr>
      <w:rFonts w:ascii="Times New Roman" w:eastAsia="Times New Roman" w:hAnsi="Times New Roman" w:cs="Times New Roman"/>
      <w:sz w:val="20"/>
      <w:lang w:bidi="ar-SA"/>
    </w:rPr>
  </w:style>
  <w:style w:type="character" w:styleId="FootnoteReference">
    <w:name w:val="footnote reference"/>
    <w:aliases w:val="ftref"/>
    <w:semiHidden/>
    <w:rsid w:val="00EE2B01"/>
    <w:rPr>
      <w:vertAlign w:val="superscript"/>
    </w:rPr>
  </w:style>
  <w:style w:type="character" w:styleId="PageNumber">
    <w:name w:val="page number"/>
    <w:basedOn w:val="DefaultParagraphFont"/>
    <w:rsid w:val="00EE2B01"/>
  </w:style>
  <w:style w:type="paragraph" w:styleId="Header">
    <w:name w:val="header"/>
    <w:basedOn w:val="Normal"/>
    <w:link w:val="HeaderChar"/>
    <w:rsid w:val="00EE2B01"/>
    <w:pPr>
      <w:tabs>
        <w:tab w:val="center" w:pos="4320"/>
        <w:tab w:val="right" w:pos="8640"/>
      </w:tabs>
    </w:pPr>
    <w:rPr>
      <w:sz w:val="20"/>
      <w:szCs w:val="20"/>
    </w:rPr>
  </w:style>
  <w:style w:type="character" w:customStyle="1" w:styleId="HeaderChar">
    <w:name w:val="Header Char"/>
    <w:basedOn w:val="DefaultParagraphFont"/>
    <w:link w:val="Header"/>
    <w:rsid w:val="00EE2B01"/>
    <w:rPr>
      <w:rFonts w:ascii="Times New Roman" w:eastAsia="Times New Roman" w:hAnsi="Times New Roman" w:cs="Times New Roman"/>
      <w:sz w:val="20"/>
      <w:lang w:bidi="ar-SA"/>
    </w:rPr>
  </w:style>
  <w:style w:type="paragraph" w:styleId="Footer">
    <w:name w:val="footer"/>
    <w:basedOn w:val="Normal"/>
    <w:link w:val="FooterChar"/>
    <w:uiPriority w:val="99"/>
    <w:rsid w:val="00EE2B01"/>
    <w:pPr>
      <w:tabs>
        <w:tab w:val="center" w:pos="4320"/>
        <w:tab w:val="right" w:pos="8640"/>
      </w:tabs>
    </w:pPr>
    <w:rPr>
      <w:szCs w:val="20"/>
    </w:rPr>
  </w:style>
  <w:style w:type="character" w:customStyle="1" w:styleId="FooterChar">
    <w:name w:val="Footer Char"/>
    <w:basedOn w:val="DefaultParagraphFont"/>
    <w:link w:val="Footer"/>
    <w:uiPriority w:val="99"/>
    <w:rsid w:val="00EE2B01"/>
    <w:rPr>
      <w:rFonts w:ascii="Times New Roman" w:eastAsia="Times New Roman" w:hAnsi="Times New Roman" w:cs="Times New Roman"/>
      <w:sz w:val="24"/>
      <w:lang w:bidi="ar-SA"/>
    </w:rPr>
  </w:style>
  <w:style w:type="paragraph" w:customStyle="1" w:styleId="Reporttext">
    <w:name w:val="Report text"/>
    <w:basedOn w:val="Normal"/>
    <w:rsid w:val="00EE2B01"/>
    <w:pPr>
      <w:tabs>
        <w:tab w:val="left" w:pos="720"/>
        <w:tab w:val="left" w:pos="1440"/>
        <w:tab w:val="left" w:pos="2160"/>
        <w:tab w:val="left" w:pos="2880"/>
        <w:tab w:val="left" w:pos="3600"/>
        <w:tab w:val="left" w:pos="4320"/>
      </w:tabs>
      <w:ind w:left="720"/>
      <w:jc w:val="both"/>
    </w:pPr>
    <w:rPr>
      <w:rFonts w:ascii="CG Times" w:hAnsi="CG Times"/>
      <w:sz w:val="22"/>
      <w:szCs w:val="20"/>
      <w:lang w:val="en-GB"/>
    </w:rPr>
  </w:style>
  <w:style w:type="paragraph" w:customStyle="1" w:styleId="Reportlist1">
    <w:name w:val="Report list 1"/>
    <w:basedOn w:val="Reporttext"/>
    <w:rsid w:val="00EE2B01"/>
    <w:pPr>
      <w:spacing w:before="120"/>
      <w:ind w:left="1440" w:hanging="720"/>
    </w:pPr>
  </w:style>
  <w:style w:type="paragraph" w:customStyle="1" w:styleId="BankNormalChar">
    <w:name w:val="BankNormal Char"/>
    <w:basedOn w:val="Normal"/>
    <w:link w:val="BankNormalCharChar"/>
    <w:rsid w:val="00EE2B01"/>
    <w:pPr>
      <w:spacing w:after="240"/>
    </w:pPr>
    <w:rPr>
      <w:color w:val="000000"/>
      <w:szCs w:val="22"/>
    </w:rPr>
  </w:style>
  <w:style w:type="character" w:customStyle="1" w:styleId="BankNormalCharChar">
    <w:name w:val="BankNormal Char Char"/>
    <w:link w:val="BankNormalChar"/>
    <w:rsid w:val="00EE2B01"/>
    <w:rPr>
      <w:rFonts w:ascii="Times New Roman" w:eastAsia="Times New Roman" w:hAnsi="Times New Roman" w:cs="Times New Roman"/>
      <w:color w:val="000000"/>
      <w:sz w:val="24"/>
      <w:szCs w:val="22"/>
      <w:lang w:bidi="ar-SA"/>
    </w:rPr>
  </w:style>
  <w:style w:type="character" w:styleId="CommentReference">
    <w:name w:val="annotation reference"/>
    <w:semiHidden/>
    <w:rsid w:val="00EE2B01"/>
    <w:rPr>
      <w:sz w:val="16"/>
      <w:szCs w:val="16"/>
    </w:rPr>
  </w:style>
  <w:style w:type="paragraph" w:styleId="CommentText">
    <w:name w:val="annotation text"/>
    <w:basedOn w:val="Normal"/>
    <w:link w:val="CommentTextChar"/>
    <w:semiHidden/>
    <w:rsid w:val="00EE2B01"/>
    <w:rPr>
      <w:sz w:val="20"/>
      <w:szCs w:val="20"/>
    </w:rPr>
  </w:style>
  <w:style w:type="character" w:customStyle="1" w:styleId="CommentTextChar">
    <w:name w:val="Comment Text Char"/>
    <w:basedOn w:val="DefaultParagraphFont"/>
    <w:link w:val="CommentText"/>
    <w:semiHidden/>
    <w:rsid w:val="00EE2B01"/>
    <w:rPr>
      <w:rFonts w:ascii="Times New Roman" w:eastAsia="Times New Roman" w:hAnsi="Times New Roman" w:cs="Times New Roman"/>
      <w:sz w:val="20"/>
      <w:lang w:bidi="ar-SA"/>
    </w:rPr>
  </w:style>
  <w:style w:type="paragraph" w:styleId="ListParagraph">
    <w:name w:val="List Paragraph"/>
    <w:aliases w:val="Citation List,Resume Title,List_Paragraph,Multilevel para_II,List Paragraph1,List Paragraph (numbered (a)),References,Source,MC Paragraphe Liste,Colorful List - Accent 11,Normal 2,Report Para,Number Bullets,WinDForce-Letter,Heading 2_sj"/>
    <w:basedOn w:val="Normal"/>
    <w:link w:val="ListParagraphChar"/>
    <w:qFormat/>
    <w:rsid w:val="00EE2B01"/>
    <w:pPr>
      <w:ind w:left="720"/>
    </w:pPr>
  </w:style>
  <w:style w:type="paragraph" w:styleId="BalloonText">
    <w:name w:val="Balloon Text"/>
    <w:basedOn w:val="Normal"/>
    <w:link w:val="BalloonTextChar"/>
    <w:uiPriority w:val="99"/>
    <w:semiHidden/>
    <w:unhideWhenUsed/>
    <w:rsid w:val="00EE2B01"/>
    <w:rPr>
      <w:rFonts w:ascii="Tahoma" w:hAnsi="Tahoma" w:cs="Tahoma"/>
      <w:sz w:val="16"/>
      <w:szCs w:val="16"/>
    </w:rPr>
  </w:style>
  <w:style w:type="character" w:customStyle="1" w:styleId="BalloonTextChar">
    <w:name w:val="Balloon Text Char"/>
    <w:basedOn w:val="DefaultParagraphFont"/>
    <w:link w:val="BalloonText"/>
    <w:uiPriority w:val="99"/>
    <w:semiHidden/>
    <w:rsid w:val="00EE2B01"/>
    <w:rPr>
      <w:rFonts w:ascii="Tahoma" w:eastAsia="Times New Roman" w:hAnsi="Tahoma" w:cs="Tahoma"/>
      <w:sz w:val="16"/>
      <w:szCs w:val="16"/>
      <w:lang w:bidi="ar-SA"/>
    </w:rPr>
  </w:style>
  <w:style w:type="character" w:customStyle="1" w:styleId="ListParagraphChar">
    <w:name w:val="List Paragraph Char"/>
    <w:aliases w:val="Citation List Char,Resume Title Char,List_Paragraph Char,Multilevel para_II Char,List Paragraph1 Char,List Paragraph (numbered (a)) Char,References Char,Source Char,MC Paragraphe Liste Char,Colorful List - Accent 11 Char"/>
    <w:basedOn w:val="DefaultParagraphFont"/>
    <w:link w:val="ListParagraph"/>
    <w:uiPriority w:val="99"/>
    <w:rsid w:val="005E1AA3"/>
    <w:rPr>
      <w:rFonts w:ascii="Times New Roman" w:eastAsia="Times New Roman" w:hAnsi="Times New Roman" w:cs="Times New Roman"/>
      <w:sz w:val="24"/>
      <w:szCs w:val="24"/>
      <w:lang w:bidi="ar-SA"/>
    </w:rPr>
  </w:style>
  <w:style w:type="paragraph" w:customStyle="1" w:styleId="MainParawithChapter">
    <w:name w:val="Main Para with Chapter#"/>
    <w:basedOn w:val="Normal"/>
    <w:rsid w:val="007F6F80"/>
    <w:pPr>
      <w:spacing w:after="240"/>
      <w:outlineLvl w:val="1"/>
    </w:pPr>
  </w:style>
  <w:style w:type="paragraph" w:customStyle="1" w:styleId="Sub-Para1underXY">
    <w:name w:val="Sub-Para 1 under X.Y"/>
    <w:basedOn w:val="Normal"/>
    <w:rsid w:val="007F6F80"/>
    <w:pPr>
      <w:spacing w:after="240"/>
      <w:ind w:left="1440" w:hanging="720"/>
      <w:outlineLvl w:val="2"/>
    </w:pPr>
  </w:style>
  <w:style w:type="paragraph" w:customStyle="1" w:styleId="Sub-Para2underXY">
    <w:name w:val="Sub-Para 2 under X.Y"/>
    <w:basedOn w:val="Normal"/>
    <w:rsid w:val="007F6F80"/>
    <w:pPr>
      <w:spacing w:after="240"/>
      <w:ind w:left="2160" w:hanging="720"/>
      <w:outlineLvl w:val="3"/>
    </w:pPr>
  </w:style>
  <w:style w:type="paragraph" w:customStyle="1" w:styleId="Sub-Para3underXY">
    <w:name w:val="Sub-Para 3 under X.Y"/>
    <w:basedOn w:val="Normal"/>
    <w:rsid w:val="007F6F80"/>
    <w:pPr>
      <w:spacing w:after="240"/>
      <w:ind w:left="2880" w:hanging="720"/>
      <w:outlineLvl w:val="4"/>
    </w:pPr>
  </w:style>
  <w:style w:type="paragraph" w:customStyle="1" w:styleId="Sub-Para4underXY">
    <w:name w:val="Sub-Para 4 under X.Y"/>
    <w:basedOn w:val="Normal"/>
    <w:rsid w:val="007F6F80"/>
    <w:pPr>
      <w:spacing w:after="240"/>
      <w:ind w:left="3600" w:hanging="720"/>
      <w:outlineLvl w:val="5"/>
    </w:pPr>
  </w:style>
  <w:style w:type="paragraph" w:customStyle="1" w:styleId="Default">
    <w:name w:val="Default"/>
    <w:rsid w:val="000E54F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5D77"/>
    <w:rPr>
      <w:color w:val="0000FF" w:themeColor="hyperlink"/>
      <w:u w:val="single"/>
    </w:rPr>
  </w:style>
  <w:style w:type="paragraph" w:styleId="Revision">
    <w:name w:val="Revision"/>
    <w:hidden/>
    <w:uiPriority w:val="99"/>
    <w:semiHidden/>
    <w:rsid w:val="00F13908"/>
    <w:pPr>
      <w:spacing w:after="0" w:line="240" w:lineRule="auto"/>
    </w:pPr>
    <w:rPr>
      <w:rFonts w:ascii="Times New Roman" w:eastAsia="Times New Roman" w:hAnsi="Times New Roman" w:cs="Times New Roman"/>
      <w:sz w:val="24"/>
      <w:szCs w:val="24"/>
      <w:lang w:bidi="ar-SA"/>
    </w:rPr>
  </w:style>
  <w:style w:type="paragraph" w:styleId="BodyTextIndent">
    <w:name w:val="Body Text Indent"/>
    <w:basedOn w:val="Normal"/>
    <w:link w:val="BodyTextIndentChar"/>
    <w:uiPriority w:val="99"/>
    <w:semiHidden/>
    <w:unhideWhenUsed/>
    <w:rsid w:val="00E97F99"/>
    <w:pPr>
      <w:spacing w:after="120"/>
      <w:ind w:left="283"/>
    </w:pPr>
  </w:style>
  <w:style w:type="character" w:customStyle="1" w:styleId="BodyTextIndentChar">
    <w:name w:val="Body Text Indent Char"/>
    <w:basedOn w:val="DefaultParagraphFont"/>
    <w:link w:val="BodyTextIndent"/>
    <w:uiPriority w:val="99"/>
    <w:semiHidden/>
    <w:rsid w:val="00E97F99"/>
    <w:rPr>
      <w:rFonts w:ascii="Times New Roman" w:eastAsia="Times New Roman" w:hAnsi="Times New Roman" w:cs="Times New Roman"/>
      <w:sz w:val="24"/>
      <w:szCs w:val="24"/>
      <w:lang w:bidi="ar-SA"/>
    </w:rPr>
  </w:style>
  <w:style w:type="table" w:styleId="TableGrid">
    <w:name w:val="Table Grid"/>
    <w:basedOn w:val="TableNormal"/>
    <w:uiPriority w:val="59"/>
    <w:rsid w:val="00653DD3"/>
    <w:pPr>
      <w:spacing w:after="0" w:line="240" w:lineRule="auto"/>
    </w:pPr>
    <w:rPr>
      <w:szCs w:val="22"/>
      <w:lang w:val="en-IN"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8889347">
      <w:bodyDiv w:val="1"/>
      <w:marLeft w:val="0"/>
      <w:marRight w:val="0"/>
      <w:marTop w:val="0"/>
      <w:marBottom w:val="0"/>
      <w:divBdr>
        <w:top w:val="none" w:sz="0" w:space="0" w:color="auto"/>
        <w:left w:val="none" w:sz="0" w:space="0" w:color="auto"/>
        <w:bottom w:val="none" w:sz="0" w:space="0" w:color="auto"/>
        <w:right w:val="none" w:sz="0" w:space="0" w:color="auto"/>
      </w:divBdr>
    </w:div>
    <w:div w:id="56703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8" ma:contentTypeDescription="Create a new document." ma:contentTypeScope="" ma:versionID="a599994a78008a33417cfb8c89b9eaa3">
  <xsd:schema xmlns:xsd="http://www.w3.org/2001/XMLSchema" xmlns:xs="http://www.w3.org/2001/XMLSchema" xmlns:p="http://schemas.microsoft.com/office/2006/metadata/properties" xmlns:ns2="644a89e5-6bf3-45be-973d-31dedccce5a6" targetNamespace="http://schemas.microsoft.com/office/2006/metadata/properties" ma:root="true" ma:fieldsID="b261049bf1ceb289bc56c5290e8e55e1"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1CF64-72CB-457F-9672-48BBC0F2A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150071-E96E-4190-BF86-6285581046FE}"/>
</file>

<file path=customXml/itemProps3.xml><?xml version="1.0" encoding="utf-8"?>
<ds:datastoreItem xmlns:ds="http://schemas.openxmlformats.org/officeDocument/2006/customXml" ds:itemID="{2FB8BB26-EF0A-4D2C-9B58-B4CD55CA60BE}">
  <ds:schemaRefs>
    <ds:schemaRef ds:uri="http://schemas.microsoft.com/sharepoint/v3/contenttype/forms"/>
  </ds:schemaRefs>
</ds:datastoreItem>
</file>

<file path=customXml/itemProps4.xml><?xml version="1.0" encoding="utf-8"?>
<ds:datastoreItem xmlns:ds="http://schemas.openxmlformats.org/officeDocument/2006/customXml" ds:itemID="{9A7CA95B-E962-446C-954C-034BF4E0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8</Pages>
  <Words>3033</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KUMAR</dc:creator>
  <cp:lastModifiedBy>USER</cp:lastModifiedBy>
  <cp:revision>33</cp:revision>
  <cp:lastPrinted>2018-12-21T08:17:00Z</cp:lastPrinted>
  <dcterms:created xsi:type="dcterms:W3CDTF">2018-12-17T11:23:00Z</dcterms:created>
  <dcterms:modified xsi:type="dcterms:W3CDTF">2018-12-21T08:19:00Z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